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C10C" w14:textId="77777777" w:rsidR="004A238E" w:rsidRDefault="004A238E">
      <w:pPr>
        <w:rPr>
          <w:rFonts w:ascii="Arial" w:hAnsi="Arial" w:cs="Arial"/>
        </w:rPr>
      </w:pPr>
    </w:p>
    <w:p w14:paraId="149F92DD" w14:textId="77777777" w:rsidR="00E7704D" w:rsidRDefault="00E7704D">
      <w:pPr>
        <w:rPr>
          <w:rFonts w:ascii="Arial" w:hAnsi="Arial" w:cs="Arial"/>
        </w:rPr>
      </w:pPr>
    </w:p>
    <w:p w14:paraId="3652A99F" w14:textId="02A26947" w:rsidR="004A238E" w:rsidRDefault="004A238E" w:rsidP="00E7704D">
      <w:pPr>
        <w:jc w:val="center"/>
        <w:rPr>
          <w:rFonts w:ascii="Times New Roman" w:eastAsia="Georgia Pro" w:hAnsi="Times New Roman" w:cs="Times New Roman"/>
          <w:b/>
          <w:bCs/>
          <w:sz w:val="28"/>
          <w:szCs w:val="28"/>
        </w:rPr>
      </w:pPr>
      <w:r>
        <w:rPr>
          <w:rFonts w:ascii="Times New Roman" w:eastAsia="Georgia Pro" w:hAnsi="Times New Roman" w:cs="Times New Roman"/>
          <w:b/>
          <w:bCs/>
          <w:sz w:val="28"/>
          <w:szCs w:val="28"/>
        </w:rPr>
        <w:t>The British</w:t>
      </w:r>
      <w:r w:rsidR="00F141F8">
        <w:rPr>
          <w:rFonts w:ascii="Times New Roman" w:eastAsia="Georgia Pro" w:hAnsi="Times New Roman" w:cs="Times New Roman"/>
          <w:b/>
          <w:bCs/>
          <w:sz w:val="28"/>
          <w:szCs w:val="28"/>
        </w:rPr>
        <w:t xml:space="preserve"> </w:t>
      </w:r>
      <w:r>
        <w:rPr>
          <w:rFonts w:ascii="Times New Roman" w:eastAsia="Georgia Pro" w:hAnsi="Times New Roman" w:cs="Times New Roman"/>
          <w:b/>
          <w:bCs/>
          <w:sz w:val="28"/>
          <w:szCs w:val="28"/>
        </w:rPr>
        <w:t xml:space="preserve">Irish Commercial Bar Association </w:t>
      </w:r>
      <w:r w:rsidR="00272F5C">
        <w:rPr>
          <w:rFonts w:ascii="Times New Roman" w:eastAsia="Georgia Pro" w:hAnsi="Times New Roman" w:cs="Times New Roman"/>
          <w:b/>
          <w:bCs/>
          <w:sz w:val="28"/>
          <w:szCs w:val="28"/>
        </w:rPr>
        <w:t>Annual Conference 2026</w:t>
      </w:r>
    </w:p>
    <w:p w14:paraId="1C41FB3A" w14:textId="36769BBA" w:rsidR="004A238E" w:rsidRPr="00887B39" w:rsidRDefault="00F62895" w:rsidP="004A238E">
      <w:pPr>
        <w:jc w:val="center"/>
        <w:rPr>
          <w:rFonts w:ascii="Times New Roman" w:eastAsia="Georgia Pro" w:hAnsi="Times New Roman" w:cs="Times New Roman"/>
          <w:b/>
          <w:bCs/>
          <w:i/>
          <w:iCs/>
          <w:sz w:val="28"/>
          <w:szCs w:val="28"/>
        </w:rPr>
      </w:pPr>
      <w:r>
        <w:rPr>
          <w:rFonts w:ascii="Times New Roman" w:eastAsia="Georgia Pro" w:hAnsi="Times New Roman" w:cs="Times New Roman"/>
          <w:b/>
          <w:bCs/>
          <w:color w:val="000000" w:themeColor="text1"/>
          <w:sz w:val="28"/>
          <w:szCs w:val="28"/>
        </w:rPr>
        <w:t>Money had and received following</w:t>
      </w:r>
      <w:r w:rsidR="004A238E" w:rsidRPr="00FA50D8">
        <w:rPr>
          <w:rFonts w:ascii="Times New Roman" w:eastAsia="Georgia Pro" w:hAnsi="Times New Roman" w:cs="Times New Roman"/>
          <w:b/>
          <w:bCs/>
          <w:i/>
          <w:iCs/>
          <w:color w:val="000000" w:themeColor="text1"/>
          <w:sz w:val="28"/>
          <w:szCs w:val="28"/>
        </w:rPr>
        <w:t xml:space="preserve"> </w:t>
      </w:r>
      <w:r w:rsidR="004A238E">
        <w:rPr>
          <w:rFonts w:ascii="Times New Roman" w:eastAsia="Georgia Pro" w:hAnsi="Times New Roman" w:cs="Times New Roman"/>
          <w:b/>
          <w:bCs/>
          <w:i/>
          <w:iCs/>
          <w:sz w:val="28"/>
          <w:szCs w:val="28"/>
        </w:rPr>
        <w:t xml:space="preserve">Bank of Ireland v. Murray </w:t>
      </w:r>
      <w:r w:rsidR="004A238E">
        <w:rPr>
          <w:rFonts w:ascii="Times New Roman" w:eastAsia="Georgia Pro" w:hAnsi="Times New Roman" w:cs="Times New Roman"/>
          <w:b/>
          <w:bCs/>
          <w:sz w:val="28"/>
          <w:szCs w:val="28"/>
        </w:rPr>
        <w:t xml:space="preserve">[2025] IESC </w:t>
      </w:r>
      <w:r w:rsidR="00A55CAC">
        <w:rPr>
          <w:rFonts w:ascii="Times New Roman" w:eastAsia="Georgia Pro" w:hAnsi="Times New Roman" w:cs="Times New Roman"/>
          <w:b/>
          <w:bCs/>
          <w:sz w:val="28"/>
          <w:szCs w:val="28"/>
        </w:rPr>
        <w:t>24</w:t>
      </w:r>
    </w:p>
    <w:p w14:paraId="2A4F97F8" w14:textId="49F76B51" w:rsidR="004A238E" w:rsidRDefault="004A238E" w:rsidP="004A238E">
      <w:pPr>
        <w:jc w:val="right"/>
        <w:rPr>
          <w:rFonts w:ascii="Times New Roman" w:eastAsia="Georgia Pro" w:hAnsi="Times New Roman" w:cs="Times New Roman"/>
        </w:rPr>
      </w:pPr>
      <w:r w:rsidRPr="00887B39">
        <w:rPr>
          <w:rFonts w:ascii="Times New Roman" w:eastAsia="Georgia Pro" w:hAnsi="Times New Roman" w:cs="Times New Roman"/>
        </w:rPr>
        <w:t>Mr</w:t>
      </w:r>
      <w:r w:rsidR="00700E00">
        <w:rPr>
          <w:rFonts w:ascii="Times New Roman" w:eastAsia="Georgia Pro" w:hAnsi="Times New Roman" w:cs="Times New Roman"/>
        </w:rPr>
        <w:t>.</w:t>
      </w:r>
      <w:r w:rsidRPr="00887B39">
        <w:rPr>
          <w:rFonts w:ascii="Times New Roman" w:eastAsia="Georgia Pro" w:hAnsi="Times New Roman" w:cs="Times New Roman"/>
        </w:rPr>
        <w:t xml:space="preserve"> Justice Seamus Woulfe</w:t>
      </w:r>
    </w:p>
    <w:p w14:paraId="0BADB5E1" w14:textId="2D1A6B2D" w:rsidR="004C2DF8" w:rsidRDefault="004A238E" w:rsidP="004C2DF8">
      <w:pPr>
        <w:rPr>
          <w:rFonts w:ascii="Times New Roman" w:eastAsia="Georgia Pro" w:hAnsi="Times New Roman" w:cs="Times New Roman"/>
        </w:rPr>
      </w:pPr>
      <w:r>
        <w:rPr>
          <w:rFonts w:ascii="Times New Roman" w:eastAsia="Georgia Pro" w:hAnsi="Times New Roman" w:cs="Times New Roman"/>
        </w:rPr>
        <w:t>25</w:t>
      </w:r>
      <w:r w:rsidRPr="004A238E">
        <w:rPr>
          <w:rFonts w:ascii="Times New Roman" w:eastAsia="Georgia Pro" w:hAnsi="Times New Roman" w:cs="Times New Roman"/>
          <w:vertAlign w:val="superscript"/>
        </w:rPr>
        <w:t>th</w:t>
      </w:r>
      <w:r>
        <w:rPr>
          <w:rFonts w:ascii="Times New Roman" w:eastAsia="Georgia Pro" w:hAnsi="Times New Roman" w:cs="Times New Roman"/>
        </w:rPr>
        <w:t xml:space="preserve"> </w:t>
      </w:r>
      <w:proofErr w:type="gramStart"/>
      <w:r>
        <w:rPr>
          <w:rFonts w:ascii="Times New Roman" w:eastAsia="Georgia Pro" w:hAnsi="Times New Roman" w:cs="Times New Roman"/>
        </w:rPr>
        <w:t>March</w:t>
      </w:r>
      <w:r w:rsidR="008659B5">
        <w:rPr>
          <w:rFonts w:ascii="Times New Roman" w:eastAsia="Georgia Pro" w:hAnsi="Times New Roman" w:cs="Times New Roman"/>
        </w:rPr>
        <w:t>,</w:t>
      </w:r>
      <w:proofErr w:type="gramEnd"/>
      <w:r w:rsidR="008659B5">
        <w:rPr>
          <w:rFonts w:ascii="Times New Roman" w:eastAsia="Georgia Pro" w:hAnsi="Times New Roman" w:cs="Times New Roman"/>
        </w:rPr>
        <w:t xml:space="preserve"> 2026</w:t>
      </w:r>
      <w:r w:rsidR="00952084">
        <w:rPr>
          <w:rFonts w:ascii="Times New Roman" w:eastAsia="Georgia Pro" w:hAnsi="Times New Roman" w:cs="Times New Roman"/>
        </w:rPr>
        <w:t xml:space="preserve"> </w:t>
      </w:r>
    </w:p>
    <w:p w14:paraId="2CBEFE52" w14:textId="77777777" w:rsidR="00D30F4E" w:rsidRDefault="00D30F4E" w:rsidP="004C2DF8">
      <w:pPr>
        <w:rPr>
          <w:rFonts w:ascii="Times New Roman" w:eastAsia="Georgia Pro" w:hAnsi="Times New Roman" w:cs="Times New Roman"/>
        </w:rPr>
      </w:pPr>
    </w:p>
    <w:p w14:paraId="62166553" w14:textId="77777777" w:rsidR="001964B8" w:rsidRPr="00B20CEC" w:rsidRDefault="001964B8" w:rsidP="001964B8">
      <w:pPr>
        <w:rPr>
          <w:rFonts w:ascii="Times New Roman" w:eastAsia="Georgia Pro" w:hAnsi="Times New Roman" w:cs="Times New Roman"/>
          <w:b/>
          <w:bCs/>
        </w:rPr>
      </w:pPr>
      <w:r>
        <w:rPr>
          <w:rFonts w:ascii="Times New Roman" w:eastAsia="Georgia Pro" w:hAnsi="Times New Roman" w:cs="Times New Roman"/>
          <w:b/>
          <w:bCs/>
        </w:rPr>
        <w:t>1.</w:t>
      </w:r>
      <w:r>
        <w:rPr>
          <w:rFonts w:ascii="Times New Roman" w:eastAsia="Georgia Pro" w:hAnsi="Times New Roman" w:cs="Times New Roman"/>
          <w:b/>
          <w:bCs/>
        </w:rPr>
        <w:tab/>
      </w:r>
      <w:r w:rsidRPr="00B20CEC">
        <w:rPr>
          <w:rFonts w:ascii="Times New Roman" w:eastAsia="Georgia Pro" w:hAnsi="Times New Roman" w:cs="Times New Roman"/>
          <w:b/>
          <w:bCs/>
        </w:rPr>
        <w:t>Introduction</w:t>
      </w:r>
    </w:p>
    <w:p w14:paraId="103A1718" w14:textId="43899DCF" w:rsidR="001964B8" w:rsidRPr="00692138" w:rsidRDefault="001964B8" w:rsidP="00692138">
      <w:pPr>
        <w:spacing w:line="480" w:lineRule="auto"/>
        <w:ind w:left="567" w:hanging="567"/>
        <w:jc w:val="both"/>
        <w:rPr>
          <w:rFonts w:ascii="Times New Roman" w:hAnsi="Times New Roman" w:cs="Times New Roman"/>
          <w:b/>
          <w:bCs/>
        </w:rPr>
      </w:pPr>
      <w:r>
        <w:rPr>
          <w:rFonts w:ascii="Times New Roman" w:hAnsi="Times New Roman" w:cs="Times New Roman"/>
          <w:b/>
          <w:bCs/>
        </w:rPr>
        <w:t>1.1</w:t>
      </w:r>
      <w:r>
        <w:rPr>
          <w:rFonts w:ascii="Times New Roman" w:hAnsi="Times New Roman" w:cs="Times New Roman"/>
        </w:rPr>
        <w:tab/>
      </w:r>
      <w:r w:rsidRPr="00692138">
        <w:rPr>
          <w:rFonts w:ascii="Times New Roman" w:hAnsi="Times New Roman" w:cs="Times New Roman"/>
        </w:rPr>
        <w:t xml:space="preserve">Good </w:t>
      </w:r>
      <w:proofErr w:type="gramStart"/>
      <w:r w:rsidRPr="00692138">
        <w:rPr>
          <w:rFonts w:ascii="Times New Roman" w:hAnsi="Times New Roman" w:cs="Times New Roman"/>
        </w:rPr>
        <w:t>morning</w:t>
      </w:r>
      <w:proofErr w:type="gramEnd"/>
      <w:r w:rsidRPr="00692138">
        <w:rPr>
          <w:rFonts w:ascii="Times New Roman" w:hAnsi="Times New Roman" w:cs="Times New Roman"/>
        </w:rPr>
        <w:t xml:space="preserve"> ladies and gentlemen, it is my pleasure to be invited to the British Irish Commercial Bar Association Conference this year, and to be asked to “</w:t>
      </w:r>
      <w:r w:rsidRPr="00692138">
        <w:rPr>
          <w:rFonts w:ascii="Times New Roman" w:hAnsi="Times New Roman" w:cs="Times New Roman"/>
          <w:i/>
          <w:iCs/>
        </w:rPr>
        <w:t>sing for my supper</w:t>
      </w:r>
      <w:r w:rsidRPr="00692138">
        <w:rPr>
          <w:rFonts w:ascii="Times New Roman" w:hAnsi="Times New Roman" w:cs="Times New Roman"/>
        </w:rPr>
        <w:t>”. This forum provides an invaluable opportunity for commercial law practitioners across the four jurisdictions of Ireland, England and Wales, Northern Ireland and Scotland to meet and share insights on various topics with today’s conference, with the topic of this year’s conference being “</w:t>
      </w:r>
      <w:r w:rsidR="00F62895">
        <w:rPr>
          <w:rFonts w:ascii="Times New Roman" w:hAnsi="Times New Roman" w:cs="Times New Roman"/>
        </w:rPr>
        <w:t>Contract</w:t>
      </w:r>
      <w:r w:rsidRPr="00692138">
        <w:rPr>
          <w:rFonts w:ascii="Times New Roman" w:hAnsi="Times New Roman" w:cs="Times New Roman"/>
        </w:rPr>
        <w:t xml:space="preserve"> and Unjust Enrichment Law”. </w:t>
      </w:r>
    </w:p>
    <w:p w14:paraId="1F94AEEA" w14:textId="6A9E20C2" w:rsidR="001964B8" w:rsidRPr="00692138" w:rsidRDefault="001964B8" w:rsidP="00692138">
      <w:pPr>
        <w:spacing w:line="480" w:lineRule="auto"/>
        <w:ind w:left="567" w:hanging="567"/>
        <w:jc w:val="both"/>
        <w:rPr>
          <w:rFonts w:ascii="Times New Roman" w:hAnsi="Times New Roman" w:cs="Times New Roman"/>
        </w:rPr>
      </w:pPr>
      <w:r w:rsidRPr="00692138">
        <w:rPr>
          <w:rFonts w:ascii="Times New Roman" w:hAnsi="Times New Roman" w:cs="Times New Roman"/>
          <w:b/>
          <w:bCs/>
        </w:rPr>
        <w:t>1.2</w:t>
      </w:r>
      <w:r w:rsidRPr="00692138">
        <w:rPr>
          <w:rFonts w:ascii="Times New Roman" w:hAnsi="Times New Roman" w:cs="Times New Roman"/>
        </w:rPr>
        <w:tab/>
        <w:t xml:space="preserve">My contribution today will centre around the Supreme Court of Ireland’s recent treatment of a claim for unjust enrichment and restitution in the case of </w:t>
      </w:r>
      <w:r w:rsidRPr="00692138">
        <w:rPr>
          <w:rFonts w:ascii="Times New Roman" w:hAnsi="Times New Roman" w:cs="Times New Roman"/>
          <w:i/>
          <w:iCs/>
        </w:rPr>
        <w:t>Bank of Ireland v. Murray</w:t>
      </w:r>
      <w:r w:rsidRPr="00692138">
        <w:rPr>
          <w:rFonts w:ascii="Times New Roman" w:hAnsi="Times New Roman" w:cs="Times New Roman"/>
        </w:rPr>
        <w:t xml:space="preserve"> (“</w:t>
      </w:r>
      <w:r w:rsidRPr="00692138">
        <w:rPr>
          <w:rFonts w:ascii="Times New Roman" w:hAnsi="Times New Roman" w:cs="Times New Roman"/>
          <w:i/>
          <w:iCs/>
        </w:rPr>
        <w:t>Murray</w:t>
      </w:r>
      <w:r w:rsidRPr="00692138">
        <w:rPr>
          <w:rFonts w:ascii="Times New Roman" w:hAnsi="Times New Roman" w:cs="Times New Roman"/>
        </w:rPr>
        <w:t xml:space="preserve">”). To give a little general context, there appears to be relatively scant authority on the issue of what is described in </w:t>
      </w:r>
      <w:r w:rsidRPr="00C230B5">
        <w:rPr>
          <w:rFonts w:ascii="Times New Roman" w:hAnsi="Times New Roman" w:cs="Times New Roman"/>
        </w:rPr>
        <w:t>Go</w:t>
      </w:r>
      <w:r w:rsidR="00F62895" w:rsidRPr="00C230B5">
        <w:rPr>
          <w:rFonts w:ascii="Times New Roman" w:hAnsi="Times New Roman" w:cs="Times New Roman"/>
        </w:rPr>
        <w:t>ff</w:t>
      </w:r>
      <w:r w:rsidR="00B20CEC">
        <w:rPr>
          <w:rFonts w:ascii="Times New Roman" w:hAnsi="Times New Roman" w:cs="Times New Roman"/>
        </w:rPr>
        <w:t xml:space="preserve"> and Jones on </w:t>
      </w:r>
      <w:r w:rsidR="00F62895" w:rsidRPr="00C230B5">
        <w:rPr>
          <w:rFonts w:ascii="Times New Roman" w:hAnsi="Times New Roman" w:cs="Times New Roman"/>
          <w:i/>
          <w:iCs/>
        </w:rPr>
        <w:t>U</w:t>
      </w:r>
      <w:r w:rsidRPr="00C230B5">
        <w:rPr>
          <w:rFonts w:ascii="Times New Roman" w:hAnsi="Times New Roman" w:cs="Times New Roman"/>
          <w:i/>
          <w:iCs/>
        </w:rPr>
        <w:t xml:space="preserve">njust </w:t>
      </w:r>
      <w:r w:rsidR="00F62895" w:rsidRPr="00C230B5">
        <w:rPr>
          <w:rFonts w:ascii="Times New Roman" w:hAnsi="Times New Roman" w:cs="Times New Roman"/>
          <w:i/>
          <w:iCs/>
        </w:rPr>
        <w:t>En</w:t>
      </w:r>
      <w:r w:rsidRPr="00C230B5">
        <w:rPr>
          <w:rFonts w:ascii="Times New Roman" w:hAnsi="Times New Roman" w:cs="Times New Roman"/>
          <w:i/>
          <w:iCs/>
        </w:rPr>
        <w:t>richment</w:t>
      </w:r>
      <w:r w:rsidRPr="00692138">
        <w:rPr>
          <w:rFonts w:ascii="Times New Roman" w:hAnsi="Times New Roman" w:cs="Times New Roman"/>
        </w:rPr>
        <w:t xml:space="preserve"> </w:t>
      </w:r>
      <w:r w:rsidR="00B20CEC">
        <w:rPr>
          <w:rFonts w:ascii="Times New Roman" w:hAnsi="Times New Roman" w:cs="Times New Roman"/>
        </w:rPr>
        <w:t xml:space="preserve">(“Goff and Jones”) </w:t>
      </w:r>
      <w:r w:rsidRPr="00692138">
        <w:rPr>
          <w:rFonts w:ascii="Times New Roman" w:hAnsi="Times New Roman" w:cs="Times New Roman"/>
        </w:rPr>
        <w:t xml:space="preserve">as “Disqualifying Circumstances", </w:t>
      </w:r>
      <w:r w:rsidRPr="00C230B5">
        <w:rPr>
          <w:rFonts w:ascii="Times New Roman" w:hAnsi="Times New Roman" w:cs="Times New Roman"/>
          <w:i/>
          <w:iCs/>
        </w:rPr>
        <w:t>i.e.</w:t>
      </w:r>
      <w:r w:rsidRPr="00692138">
        <w:rPr>
          <w:rFonts w:ascii="Times New Roman" w:hAnsi="Times New Roman" w:cs="Times New Roman"/>
        </w:rPr>
        <w:t xml:space="preserve"> circumstances relating to the conduct of the claimant which could affect the claimant's </w:t>
      </w:r>
      <w:r w:rsidRPr="00692138">
        <w:rPr>
          <w:rFonts w:ascii="Times New Roman" w:hAnsi="Times New Roman" w:cs="Times New Roman"/>
          <w:i/>
          <w:iCs/>
        </w:rPr>
        <w:t>prima facie</w:t>
      </w:r>
      <w:r w:rsidRPr="00692138">
        <w:rPr>
          <w:rFonts w:ascii="Times New Roman" w:hAnsi="Times New Roman" w:cs="Times New Roman"/>
        </w:rPr>
        <w:t xml:space="preserve"> entitlement to relief by way of restitution.</w:t>
      </w:r>
    </w:p>
    <w:p w14:paraId="26070D84" w14:textId="69FC7E17" w:rsidR="001964B8" w:rsidRPr="00692138" w:rsidRDefault="001964B8" w:rsidP="00692138">
      <w:pPr>
        <w:spacing w:line="480" w:lineRule="auto"/>
        <w:ind w:left="567" w:hanging="567"/>
        <w:jc w:val="both"/>
        <w:rPr>
          <w:rFonts w:ascii="Times New Roman" w:hAnsi="Times New Roman" w:cs="Times New Roman"/>
        </w:rPr>
      </w:pPr>
      <w:r w:rsidRPr="00692138">
        <w:rPr>
          <w:rFonts w:ascii="Times New Roman" w:hAnsi="Times New Roman" w:cs="Times New Roman"/>
          <w:b/>
          <w:bCs/>
        </w:rPr>
        <w:t>1.3</w:t>
      </w:r>
      <w:r w:rsidRPr="00692138">
        <w:rPr>
          <w:rFonts w:ascii="Times New Roman" w:hAnsi="Times New Roman" w:cs="Times New Roman"/>
        </w:rPr>
        <w:tab/>
        <w:t xml:space="preserve">The issue takes up only four paragraphs of the most recent edition of </w:t>
      </w:r>
      <w:proofErr w:type="gramStart"/>
      <w:r w:rsidRPr="00C230B5">
        <w:rPr>
          <w:rFonts w:ascii="Times New Roman" w:hAnsi="Times New Roman" w:cs="Times New Roman"/>
        </w:rPr>
        <w:t>Go</w:t>
      </w:r>
      <w:r w:rsidR="00F62895" w:rsidRPr="00C230B5">
        <w:rPr>
          <w:rFonts w:ascii="Times New Roman" w:hAnsi="Times New Roman" w:cs="Times New Roman"/>
        </w:rPr>
        <w:t>ff</w:t>
      </w:r>
      <w:r w:rsidRPr="00692138">
        <w:rPr>
          <w:rFonts w:ascii="Times New Roman" w:hAnsi="Times New Roman" w:cs="Times New Roman"/>
        </w:rPr>
        <w:t xml:space="preserve"> </w:t>
      </w:r>
      <w:r w:rsidR="00B20CEC">
        <w:rPr>
          <w:rFonts w:ascii="Times New Roman" w:hAnsi="Times New Roman" w:cs="Times New Roman"/>
        </w:rPr>
        <w:t xml:space="preserve"> and</w:t>
      </w:r>
      <w:proofErr w:type="gramEnd"/>
      <w:r w:rsidR="00B20CEC">
        <w:rPr>
          <w:rFonts w:ascii="Times New Roman" w:hAnsi="Times New Roman" w:cs="Times New Roman"/>
        </w:rPr>
        <w:t xml:space="preserve"> Jones </w:t>
      </w:r>
      <w:r w:rsidRPr="00692138">
        <w:rPr>
          <w:rFonts w:ascii="Times New Roman" w:hAnsi="Times New Roman" w:cs="Times New Roman"/>
        </w:rPr>
        <w:t>(10th Edition, 2022), from para. 9</w:t>
      </w:r>
      <w:r w:rsidR="00F62895">
        <w:rPr>
          <w:rFonts w:ascii="Times New Roman" w:hAnsi="Times New Roman" w:cs="Times New Roman"/>
        </w:rPr>
        <w:t>-</w:t>
      </w:r>
      <w:r w:rsidRPr="00692138">
        <w:rPr>
          <w:rFonts w:ascii="Times New Roman" w:hAnsi="Times New Roman" w:cs="Times New Roman"/>
        </w:rPr>
        <w:t>162 to 9</w:t>
      </w:r>
      <w:r w:rsidR="00F62895">
        <w:rPr>
          <w:rFonts w:ascii="Times New Roman" w:hAnsi="Times New Roman" w:cs="Times New Roman"/>
        </w:rPr>
        <w:t>-</w:t>
      </w:r>
      <w:r w:rsidRPr="00692138">
        <w:rPr>
          <w:rFonts w:ascii="Times New Roman" w:hAnsi="Times New Roman" w:cs="Times New Roman"/>
        </w:rPr>
        <w:t>165. At para. 9</w:t>
      </w:r>
      <w:r w:rsidR="00F62895">
        <w:rPr>
          <w:rFonts w:ascii="Times New Roman" w:hAnsi="Times New Roman" w:cs="Times New Roman"/>
        </w:rPr>
        <w:t>-</w:t>
      </w:r>
      <w:r w:rsidRPr="00692138">
        <w:rPr>
          <w:rFonts w:ascii="Times New Roman" w:hAnsi="Times New Roman" w:cs="Times New Roman"/>
        </w:rPr>
        <w:t xml:space="preserve">162 </w:t>
      </w:r>
      <w:r w:rsidR="00F62895" w:rsidRPr="00C230B5">
        <w:rPr>
          <w:rFonts w:ascii="Times New Roman" w:hAnsi="Times New Roman" w:cs="Times New Roman"/>
        </w:rPr>
        <w:t>Goff</w:t>
      </w:r>
      <w:r w:rsidR="00B20CEC">
        <w:rPr>
          <w:rFonts w:ascii="Times New Roman" w:hAnsi="Times New Roman" w:cs="Times New Roman"/>
        </w:rPr>
        <w:t xml:space="preserve"> and Jones</w:t>
      </w:r>
      <w:r w:rsidRPr="00F62895">
        <w:rPr>
          <w:rFonts w:ascii="Times New Roman" w:hAnsi="Times New Roman" w:cs="Times New Roman"/>
          <w:i/>
          <w:iCs/>
        </w:rPr>
        <w:t xml:space="preserve"> </w:t>
      </w:r>
      <w:r w:rsidRPr="00692138">
        <w:rPr>
          <w:rFonts w:ascii="Times New Roman" w:hAnsi="Times New Roman" w:cs="Times New Roman"/>
        </w:rPr>
        <w:t xml:space="preserve">frame the issue as follows: </w:t>
      </w:r>
    </w:p>
    <w:p w14:paraId="779E57DE" w14:textId="3374C597" w:rsidR="001964B8" w:rsidRPr="00692138" w:rsidRDefault="001964B8" w:rsidP="001964B8">
      <w:pPr>
        <w:spacing w:line="480" w:lineRule="auto"/>
        <w:ind w:left="720"/>
        <w:jc w:val="both"/>
        <w:rPr>
          <w:rFonts w:ascii="Times New Roman" w:hAnsi="Times New Roman" w:cs="Times New Roman"/>
        </w:rPr>
      </w:pPr>
      <w:r w:rsidRPr="00692138">
        <w:rPr>
          <w:rFonts w:ascii="Times New Roman" w:hAnsi="Times New Roman" w:cs="Times New Roman"/>
        </w:rPr>
        <w:lastRenderedPageBreak/>
        <w:t>“Are there any circumstances in which a claimant</w:t>
      </w:r>
      <w:r w:rsidR="00F62895">
        <w:rPr>
          <w:rFonts w:ascii="Times New Roman" w:hAnsi="Times New Roman" w:cs="Times New Roman"/>
        </w:rPr>
        <w:t>, who</w:t>
      </w:r>
      <w:r w:rsidRPr="00692138">
        <w:rPr>
          <w:rFonts w:ascii="Times New Roman" w:hAnsi="Times New Roman" w:cs="Times New Roman"/>
        </w:rPr>
        <w:t xml:space="preserve"> can establish that he made a qualifying mistake, and that the mistake caused </w:t>
      </w:r>
      <w:r w:rsidR="00F62895">
        <w:rPr>
          <w:rFonts w:ascii="Times New Roman" w:hAnsi="Times New Roman" w:cs="Times New Roman"/>
        </w:rPr>
        <w:t>him</w:t>
      </w:r>
      <w:r w:rsidRPr="00692138">
        <w:rPr>
          <w:rFonts w:ascii="Times New Roman" w:hAnsi="Times New Roman" w:cs="Times New Roman"/>
        </w:rPr>
        <w:t xml:space="preserve"> to confer a benefit on the defendant,</w:t>
      </w:r>
      <w:r w:rsidR="00F62895">
        <w:rPr>
          <w:rFonts w:ascii="Times New Roman" w:hAnsi="Times New Roman" w:cs="Times New Roman"/>
        </w:rPr>
        <w:t xml:space="preserve"> </w:t>
      </w:r>
      <w:r w:rsidRPr="00692138">
        <w:rPr>
          <w:rFonts w:ascii="Times New Roman" w:hAnsi="Times New Roman" w:cs="Times New Roman"/>
        </w:rPr>
        <w:t>will nevertheless be denied restitution, otherwise than because of the availability of a general defence to a claim of unjust enrichment or some justifying ground?  </w:t>
      </w:r>
      <w:proofErr w:type="gramStart"/>
      <w:r w:rsidRPr="00692138">
        <w:rPr>
          <w:rFonts w:ascii="Times New Roman" w:hAnsi="Times New Roman" w:cs="Times New Roman"/>
        </w:rPr>
        <w:t>In particular, to</w:t>
      </w:r>
      <w:proofErr w:type="gramEnd"/>
      <w:r w:rsidRPr="00692138">
        <w:rPr>
          <w:rFonts w:ascii="Times New Roman" w:hAnsi="Times New Roman" w:cs="Times New Roman"/>
        </w:rPr>
        <w:t xml:space="preserve"> what extent is the claimant's “fault" significant for the availability of relief?</w:t>
      </w:r>
      <w:r w:rsidR="00F62895">
        <w:rPr>
          <w:rFonts w:ascii="Times New Roman" w:hAnsi="Times New Roman" w:cs="Times New Roman"/>
        </w:rPr>
        <w:t>”</w:t>
      </w:r>
    </w:p>
    <w:p w14:paraId="109DD477" w14:textId="4E916B08" w:rsidR="001964B8" w:rsidRPr="00692138" w:rsidRDefault="001964B8" w:rsidP="00692138">
      <w:pPr>
        <w:spacing w:line="480" w:lineRule="auto"/>
        <w:ind w:left="567" w:hanging="567"/>
        <w:jc w:val="both"/>
        <w:rPr>
          <w:rFonts w:ascii="Times New Roman" w:hAnsi="Times New Roman" w:cs="Times New Roman"/>
        </w:rPr>
      </w:pPr>
      <w:r w:rsidRPr="00692138">
        <w:rPr>
          <w:rFonts w:ascii="Times New Roman" w:hAnsi="Times New Roman" w:cs="Times New Roman"/>
          <w:b/>
          <w:bCs/>
        </w:rPr>
        <w:t>1.4</w:t>
      </w:r>
      <w:r w:rsidRPr="00692138">
        <w:rPr>
          <w:rFonts w:ascii="Times New Roman" w:hAnsi="Times New Roman" w:cs="Times New Roman"/>
        </w:rPr>
        <w:tab/>
        <w:t>G</w:t>
      </w:r>
      <w:r w:rsidR="00F62895">
        <w:rPr>
          <w:rFonts w:ascii="Times New Roman" w:hAnsi="Times New Roman" w:cs="Times New Roman"/>
        </w:rPr>
        <w:t>off</w:t>
      </w:r>
      <w:r w:rsidRPr="00692138">
        <w:rPr>
          <w:rFonts w:ascii="Times New Roman" w:hAnsi="Times New Roman" w:cs="Times New Roman"/>
        </w:rPr>
        <w:t xml:space="preserve"> </w:t>
      </w:r>
      <w:r w:rsidR="00B20CEC">
        <w:rPr>
          <w:rFonts w:ascii="Times New Roman" w:hAnsi="Times New Roman" w:cs="Times New Roman"/>
        </w:rPr>
        <w:t xml:space="preserve">and Jones go </w:t>
      </w:r>
      <w:r w:rsidRPr="00692138">
        <w:rPr>
          <w:rFonts w:ascii="Times New Roman" w:hAnsi="Times New Roman" w:cs="Times New Roman"/>
        </w:rPr>
        <w:t xml:space="preserve">on to state that it is a “long-standing assumption” within the law of unjust enrichment that a claimant will not be denied restitution for mistake merely because he was “negligent”.  By negligent in this context </w:t>
      </w:r>
      <w:r w:rsidR="00B20CEC">
        <w:rPr>
          <w:rFonts w:ascii="Times New Roman" w:hAnsi="Times New Roman" w:cs="Times New Roman"/>
        </w:rPr>
        <w:t xml:space="preserve">they explain that they </w:t>
      </w:r>
      <w:proofErr w:type="gramStart"/>
      <w:r w:rsidR="00B20CEC">
        <w:rPr>
          <w:rFonts w:ascii="Times New Roman" w:hAnsi="Times New Roman" w:cs="Times New Roman"/>
        </w:rPr>
        <w:t xml:space="preserve">mean </w:t>
      </w:r>
      <w:r w:rsidRPr="00692138">
        <w:rPr>
          <w:rFonts w:ascii="Times New Roman" w:hAnsi="Times New Roman" w:cs="Times New Roman"/>
        </w:rPr>
        <w:t xml:space="preserve"> “</w:t>
      </w:r>
      <w:proofErr w:type="gramEnd"/>
      <w:r w:rsidRPr="00692138">
        <w:rPr>
          <w:rFonts w:ascii="Times New Roman" w:hAnsi="Times New Roman" w:cs="Times New Roman"/>
        </w:rPr>
        <w:t>(for example) having carelessly forgotten or overlooked the true facts, or having carelessly made no enquiry or only an inadequate enquiry, despite adequate means of knowledge being available</w:t>
      </w:r>
      <w:r w:rsidR="00F62895">
        <w:rPr>
          <w:rFonts w:ascii="Times New Roman" w:hAnsi="Times New Roman" w:cs="Times New Roman"/>
        </w:rPr>
        <w:t>”</w:t>
      </w:r>
      <w:r w:rsidRPr="00692138">
        <w:rPr>
          <w:rFonts w:ascii="Times New Roman" w:hAnsi="Times New Roman" w:cs="Times New Roman"/>
        </w:rPr>
        <w:t>.</w:t>
      </w:r>
    </w:p>
    <w:p w14:paraId="11EC939A" w14:textId="0DE9ADF8" w:rsidR="001964B8" w:rsidRPr="00692138" w:rsidRDefault="001964B8" w:rsidP="00692138">
      <w:pPr>
        <w:spacing w:line="480" w:lineRule="auto"/>
        <w:ind w:left="567" w:hanging="567"/>
        <w:jc w:val="both"/>
        <w:rPr>
          <w:rFonts w:ascii="Times New Roman" w:hAnsi="Times New Roman" w:cs="Times New Roman"/>
        </w:rPr>
      </w:pPr>
      <w:r w:rsidRPr="00692138">
        <w:rPr>
          <w:rFonts w:ascii="Times New Roman" w:hAnsi="Times New Roman" w:cs="Times New Roman"/>
          <w:b/>
          <w:bCs/>
        </w:rPr>
        <w:t>1.5</w:t>
      </w:r>
      <w:r w:rsidRPr="00692138">
        <w:rPr>
          <w:rFonts w:ascii="Times New Roman" w:hAnsi="Times New Roman" w:cs="Times New Roman"/>
        </w:rPr>
        <w:tab/>
        <w:t xml:space="preserve"> Go</w:t>
      </w:r>
      <w:r w:rsidR="00F62895">
        <w:rPr>
          <w:rFonts w:ascii="Times New Roman" w:hAnsi="Times New Roman" w:cs="Times New Roman"/>
        </w:rPr>
        <w:t>ff</w:t>
      </w:r>
      <w:r w:rsidRPr="00692138">
        <w:rPr>
          <w:rFonts w:ascii="Times New Roman" w:hAnsi="Times New Roman" w:cs="Times New Roman"/>
        </w:rPr>
        <w:t xml:space="preserve"> </w:t>
      </w:r>
      <w:r w:rsidR="00B20CEC">
        <w:rPr>
          <w:rFonts w:ascii="Times New Roman" w:hAnsi="Times New Roman" w:cs="Times New Roman"/>
        </w:rPr>
        <w:t xml:space="preserve">and Jones </w:t>
      </w:r>
      <w:r w:rsidRPr="00692138">
        <w:rPr>
          <w:rFonts w:ascii="Times New Roman" w:hAnsi="Times New Roman" w:cs="Times New Roman"/>
        </w:rPr>
        <w:t xml:space="preserve">do add a qualification to this suggested “fool’s pardon” for the negligent claimant in restitution. It is that, crucially, the authorities for this proposition all assume a claimant who was unconscious of the risk of </w:t>
      </w:r>
      <w:proofErr w:type="gramStart"/>
      <w:r w:rsidRPr="00692138">
        <w:rPr>
          <w:rFonts w:ascii="Times New Roman" w:hAnsi="Times New Roman" w:cs="Times New Roman"/>
        </w:rPr>
        <w:t>error</w:t>
      </w:r>
      <w:r w:rsidR="00F62895">
        <w:rPr>
          <w:rFonts w:ascii="Times New Roman" w:hAnsi="Times New Roman" w:cs="Times New Roman"/>
        </w:rPr>
        <w:t>;</w:t>
      </w:r>
      <w:proofErr w:type="gramEnd"/>
      <w:r w:rsidR="00F62895">
        <w:rPr>
          <w:rFonts w:ascii="Times New Roman" w:hAnsi="Times New Roman" w:cs="Times New Roman"/>
        </w:rPr>
        <w:t xml:space="preserve"> </w:t>
      </w:r>
      <w:r w:rsidR="00F62895" w:rsidRPr="00F62895">
        <w:rPr>
          <w:rFonts w:ascii="Times New Roman" w:hAnsi="Times New Roman" w:cs="Times New Roman"/>
          <w:i/>
          <w:iCs/>
        </w:rPr>
        <w:t>i.e.</w:t>
      </w:r>
      <w:r w:rsidRPr="00692138">
        <w:rPr>
          <w:rFonts w:ascii="Times New Roman" w:hAnsi="Times New Roman" w:cs="Times New Roman"/>
        </w:rPr>
        <w:t xml:space="preserve"> a claimant who acted on the basis of an incorrect belief, without any conscious appreciation that his belief might be wrong, or that there might be material circumstances of which he was </w:t>
      </w:r>
      <w:r w:rsidR="00B20CEC" w:rsidRPr="00692138">
        <w:rPr>
          <w:rFonts w:ascii="Times New Roman" w:hAnsi="Times New Roman" w:cs="Times New Roman"/>
        </w:rPr>
        <w:t>ignorant.</w:t>
      </w:r>
      <w:r w:rsidRPr="00692138">
        <w:rPr>
          <w:rFonts w:ascii="Times New Roman" w:hAnsi="Times New Roman" w:cs="Times New Roman"/>
        </w:rPr>
        <w:t xml:space="preserve"> </w:t>
      </w:r>
      <w:r w:rsidR="00B20CEC">
        <w:rPr>
          <w:rFonts w:ascii="Times New Roman" w:hAnsi="Times New Roman" w:cs="Times New Roman"/>
        </w:rPr>
        <w:t>They conclude</w:t>
      </w:r>
      <w:r w:rsidRPr="00692138">
        <w:rPr>
          <w:rFonts w:ascii="Times New Roman" w:hAnsi="Times New Roman" w:cs="Times New Roman"/>
        </w:rPr>
        <w:t xml:space="preserve"> that the authorities do not go so far as to establish that a person who has doubts or suspicions about the true circumstances, </w:t>
      </w:r>
      <w:r w:rsidR="00F62895">
        <w:rPr>
          <w:rFonts w:ascii="Times New Roman" w:hAnsi="Times New Roman" w:cs="Times New Roman"/>
        </w:rPr>
        <w:t xml:space="preserve">or who is </w:t>
      </w:r>
      <w:r w:rsidRPr="00692138">
        <w:rPr>
          <w:rFonts w:ascii="Times New Roman" w:hAnsi="Times New Roman" w:cs="Times New Roman"/>
        </w:rPr>
        <w:t>consciously ignorant of the true circumstances, can invariably recover on the ground of mistake.</w:t>
      </w:r>
    </w:p>
    <w:p w14:paraId="3BE74187" w14:textId="77777777" w:rsidR="001964B8" w:rsidRPr="00692138" w:rsidRDefault="001964B8" w:rsidP="00F62895">
      <w:pPr>
        <w:spacing w:line="480" w:lineRule="auto"/>
        <w:ind w:left="567" w:hanging="567"/>
        <w:jc w:val="both"/>
        <w:rPr>
          <w:rFonts w:ascii="Arial" w:hAnsi="Arial" w:cs="Arial"/>
          <w:b/>
          <w:bCs/>
        </w:rPr>
      </w:pPr>
      <w:r w:rsidRPr="00692138">
        <w:rPr>
          <w:rFonts w:ascii="Times New Roman" w:hAnsi="Times New Roman" w:cs="Times New Roman"/>
          <w:b/>
          <w:bCs/>
        </w:rPr>
        <w:t>2.</w:t>
      </w:r>
      <w:r w:rsidRPr="00692138">
        <w:rPr>
          <w:rFonts w:ascii="Times New Roman" w:hAnsi="Times New Roman" w:cs="Times New Roman"/>
          <w:b/>
          <w:bCs/>
        </w:rPr>
        <w:tab/>
      </w:r>
      <w:r w:rsidRPr="00692138">
        <w:rPr>
          <w:rFonts w:ascii="Times New Roman" w:hAnsi="Times New Roman" w:cs="Times New Roman"/>
          <w:b/>
          <w:bCs/>
          <w:i/>
          <w:iCs/>
        </w:rPr>
        <w:t>B</w:t>
      </w:r>
      <w:r w:rsidRPr="00692138">
        <w:rPr>
          <w:rFonts w:ascii="Times New Roman" w:eastAsia="Georgia Pro" w:hAnsi="Times New Roman" w:cs="Times New Roman"/>
          <w:b/>
          <w:bCs/>
          <w:i/>
          <w:iCs/>
        </w:rPr>
        <w:t xml:space="preserve">ank of Ireland Mortgage </w:t>
      </w:r>
      <w:proofErr w:type="gramStart"/>
      <w:r w:rsidRPr="00692138">
        <w:rPr>
          <w:rFonts w:ascii="Times New Roman" w:eastAsia="Georgia Pro" w:hAnsi="Times New Roman" w:cs="Times New Roman"/>
          <w:b/>
          <w:bCs/>
          <w:i/>
          <w:iCs/>
        </w:rPr>
        <w:t>Bank  v.</w:t>
      </w:r>
      <w:proofErr w:type="gramEnd"/>
      <w:r w:rsidRPr="00692138">
        <w:rPr>
          <w:rFonts w:ascii="Times New Roman" w:eastAsia="Georgia Pro" w:hAnsi="Times New Roman" w:cs="Times New Roman"/>
          <w:b/>
          <w:bCs/>
          <w:i/>
          <w:iCs/>
        </w:rPr>
        <w:t xml:space="preserve"> Brian Murray and Attracta Murray</w:t>
      </w:r>
      <w:r w:rsidRPr="00692138">
        <w:rPr>
          <w:rFonts w:ascii="Times New Roman" w:eastAsia="Georgia Pro" w:hAnsi="Times New Roman" w:cs="Times New Roman"/>
          <w:b/>
          <w:bCs/>
        </w:rPr>
        <w:t xml:space="preserve"> [2025] IESC 24</w:t>
      </w:r>
    </w:p>
    <w:p w14:paraId="53BFD789" w14:textId="3E4EA74C" w:rsidR="00D20F16" w:rsidRPr="00F62895" w:rsidRDefault="00D20F16" w:rsidP="00D30F4E">
      <w:pPr>
        <w:ind w:left="567" w:hanging="141"/>
        <w:jc w:val="both"/>
        <w:rPr>
          <w:rFonts w:ascii="Times New Roman" w:hAnsi="Times New Roman" w:cs="Times New Roman"/>
          <w:i/>
          <w:iCs/>
        </w:rPr>
      </w:pPr>
      <w:r w:rsidRPr="00F62895">
        <w:rPr>
          <w:rFonts w:ascii="Times New Roman" w:hAnsi="Times New Roman" w:cs="Times New Roman"/>
          <w:i/>
          <w:iCs/>
        </w:rPr>
        <w:t>Background</w:t>
      </w:r>
    </w:p>
    <w:p w14:paraId="79E4B338" w14:textId="77777777" w:rsidR="001F0908" w:rsidRPr="00692138" w:rsidRDefault="004B6990" w:rsidP="00692138">
      <w:pPr>
        <w:pStyle w:val="ListParagraph"/>
        <w:numPr>
          <w:ilvl w:val="1"/>
          <w:numId w:val="7"/>
        </w:numPr>
        <w:spacing w:line="480" w:lineRule="auto"/>
        <w:ind w:left="567" w:hanging="567"/>
        <w:jc w:val="both"/>
        <w:rPr>
          <w:rFonts w:ascii="Times New Roman" w:hAnsi="Times New Roman" w:cs="Times New Roman"/>
          <w:b/>
          <w:bCs/>
          <w:sz w:val="24"/>
          <w:szCs w:val="24"/>
        </w:rPr>
      </w:pPr>
      <w:r w:rsidRPr="00692138">
        <w:rPr>
          <w:rFonts w:ascii="Times New Roman" w:hAnsi="Times New Roman" w:cs="Times New Roman"/>
          <w:sz w:val="24"/>
          <w:szCs w:val="24"/>
        </w:rPr>
        <w:lastRenderedPageBreak/>
        <w:t xml:space="preserve">The geographical setting for the events at issue in </w:t>
      </w:r>
      <w:r w:rsidRPr="00692138">
        <w:rPr>
          <w:rFonts w:ascii="Times New Roman" w:hAnsi="Times New Roman" w:cs="Times New Roman"/>
          <w:i/>
          <w:iCs/>
          <w:sz w:val="24"/>
          <w:szCs w:val="24"/>
        </w:rPr>
        <w:t>Murray</w:t>
      </w:r>
      <w:r w:rsidRPr="00692138">
        <w:rPr>
          <w:rFonts w:ascii="Times New Roman" w:hAnsi="Times New Roman" w:cs="Times New Roman"/>
          <w:sz w:val="24"/>
          <w:szCs w:val="24"/>
        </w:rPr>
        <w:t xml:space="preserve"> is the town of Killybegs, a town in the southwest of County Donegal.  It is the largest fishing port</w:t>
      </w:r>
      <w:r w:rsidR="00ED1030" w:rsidRPr="00692138">
        <w:rPr>
          <w:rFonts w:ascii="Times New Roman" w:hAnsi="Times New Roman" w:cs="Times New Roman"/>
          <w:sz w:val="24"/>
          <w:szCs w:val="24"/>
        </w:rPr>
        <w:t xml:space="preserve"> on the island of Ireland.  Mr Murray’s evidence in the High Court was that most of the men living in Killybegs work as fishermen </w:t>
      </w:r>
      <w:r w:rsidR="001F0908" w:rsidRPr="00692138">
        <w:rPr>
          <w:rFonts w:ascii="Times New Roman" w:hAnsi="Times New Roman" w:cs="Times New Roman"/>
          <w:sz w:val="24"/>
          <w:szCs w:val="24"/>
        </w:rPr>
        <w:t xml:space="preserve">at sea. </w:t>
      </w:r>
    </w:p>
    <w:p w14:paraId="1B87211B" w14:textId="69F1B1AC" w:rsidR="00E2468E" w:rsidRPr="00692138" w:rsidRDefault="001F0908" w:rsidP="00692138">
      <w:pPr>
        <w:pStyle w:val="ListParagraph"/>
        <w:numPr>
          <w:ilvl w:val="1"/>
          <w:numId w:val="7"/>
        </w:numPr>
        <w:spacing w:line="480" w:lineRule="auto"/>
        <w:ind w:left="709" w:hanging="709"/>
        <w:jc w:val="both"/>
        <w:rPr>
          <w:rFonts w:ascii="Times New Roman" w:hAnsi="Times New Roman" w:cs="Times New Roman"/>
          <w:b/>
          <w:bCs/>
          <w:sz w:val="24"/>
          <w:szCs w:val="24"/>
        </w:rPr>
      </w:pPr>
      <w:r w:rsidRPr="00692138">
        <w:rPr>
          <w:rFonts w:ascii="Times New Roman" w:hAnsi="Times New Roman" w:cs="Times New Roman"/>
          <w:sz w:val="24"/>
          <w:szCs w:val="24"/>
        </w:rPr>
        <w:t>Mr Mur</w:t>
      </w:r>
      <w:r w:rsidR="004E11B6" w:rsidRPr="00692138">
        <w:rPr>
          <w:rFonts w:ascii="Times New Roman" w:hAnsi="Times New Roman" w:cs="Times New Roman"/>
          <w:sz w:val="24"/>
          <w:szCs w:val="24"/>
        </w:rPr>
        <w:t>ray himself ha</w:t>
      </w:r>
      <w:r w:rsidR="00B20CEC">
        <w:rPr>
          <w:rFonts w:ascii="Times New Roman" w:hAnsi="Times New Roman" w:cs="Times New Roman"/>
          <w:sz w:val="24"/>
          <w:szCs w:val="24"/>
        </w:rPr>
        <w:t>d</w:t>
      </w:r>
      <w:r w:rsidR="004E11B6" w:rsidRPr="00692138">
        <w:rPr>
          <w:rFonts w:ascii="Times New Roman" w:hAnsi="Times New Roman" w:cs="Times New Roman"/>
          <w:sz w:val="24"/>
          <w:szCs w:val="24"/>
        </w:rPr>
        <w:t xml:space="preserve"> been fishing at sea since he was 15 years old.  He and his wife married in </w:t>
      </w:r>
      <w:proofErr w:type="gramStart"/>
      <w:r w:rsidR="004E11B6" w:rsidRPr="00692138">
        <w:rPr>
          <w:rFonts w:ascii="Times New Roman" w:hAnsi="Times New Roman" w:cs="Times New Roman"/>
          <w:sz w:val="24"/>
          <w:szCs w:val="24"/>
        </w:rPr>
        <w:t>1979</w:t>
      </w:r>
      <w:proofErr w:type="gramEnd"/>
      <w:r w:rsidR="004E11B6" w:rsidRPr="00692138">
        <w:rPr>
          <w:rFonts w:ascii="Times New Roman" w:hAnsi="Times New Roman" w:cs="Times New Roman"/>
          <w:sz w:val="24"/>
          <w:szCs w:val="24"/>
        </w:rPr>
        <w:t xml:space="preserve"> and their principal private residen</w:t>
      </w:r>
      <w:r w:rsidR="00F62895">
        <w:rPr>
          <w:rFonts w:ascii="Times New Roman" w:hAnsi="Times New Roman" w:cs="Times New Roman"/>
          <w:sz w:val="24"/>
          <w:szCs w:val="24"/>
        </w:rPr>
        <w:t>ce was</w:t>
      </w:r>
      <w:r w:rsidR="004E11B6" w:rsidRPr="00692138">
        <w:rPr>
          <w:rFonts w:ascii="Times New Roman" w:hAnsi="Times New Roman" w:cs="Times New Roman"/>
          <w:sz w:val="24"/>
          <w:szCs w:val="24"/>
        </w:rPr>
        <w:t xml:space="preserve"> in Killybegs.  The evidence was that he was always at sea from Monday to Friday</w:t>
      </w:r>
      <w:r w:rsidR="00F62895">
        <w:rPr>
          <w:rFonts w:ascii="Times New Roman" w:hAnsi="Times New Roman" w:cs="Times New Roman"/>
          <w:sz w:val="24"/>
          <w:szCs w:val="24"/>
        </w:rPr>
        <w:t>,</w:t>
      </w:r>
      <w:r w:rsidR="004E11B6" w:rsidRPr="00692138">
        <w:rPr>
          <w:rFonts w:ascii="Times New Roman" w:hAnsi="Times New Roman" w:cs="Times New Roman"/>
          <w:sz w:val="24"/>
          <w:szCs w:val="24"/>
        </w:rPr>
        <w:t xml:space="preserve"> and the fishing trips could involve the vessel being at sea for up to a week at a time.  </w:t>
      </w:r>
      <w:r w:rsidR="00E2468E" w:rsidRPr="00692138">
        <w:rPr>
          <w:rFonts w:ascii="Times New Roman" w:hAnsi="Times New Roman" w:cs="Times New Roman"/>
          <w:sz w:val="24"/>
          <w:szCs w:val="24"/>
        </w:rPr>
        <w:t>Mr Murray was at all material times the sole breadwinner for his family, which included three children.</w:t>
      </w:r>
    </w:p>
    <w:p w14:paraId="1E259D1C" w14:textId="343A798B" w:rsidR="00E2468E" w:rsidRPr="00692138" w:rsidRDefault="00E2468E" w:rsidP="00692138">
      <w:pPr>
        <w:pStyle w:val="ListParagraph"/>
        <w:numPr>
          <w:ilvl w:val="1"/>
          <w:numId w:val="7"/>
        </w:numPr>
        <w:spacing w:line="480" w:lineRule="auto"/>
        <w:ind w:left="709" w:hanging="709"/>
        <w:jc w:val="both"/>
        <w:rPr>
          <w:rFonts w:ascii="Times New Roman" w:hAnsi="Times New Roman" w:cs="Times New Roman"/>
          <w:b/>
          <w:bCs/>
          <w:sz w:val="24"/>
          <w:szCs w:val="24"/>
        </w:rPr>
      </w:pPr>
      <w:r w:rsidRPr="00692138">
        <w:rPr>
          <w:rFonts w:ascii="Times New Roman" w:hAnsi="Times New Roman" w:cs="Times New Roman"/>
          <w:sz w:val="24"/>
          <w:szCs w:val="24"/>
        </w:rPr>
        <w:t xml:space="preserve">Mrs Murray had not worked outside the home for at least 10 years before the matters the subject of these proceedings.  By agreement she ran the household and all aspects of </w:t>
      </w:r>
      <w:r w:rsidR="00F62895">
        <w:rPr>
          <w:rFonts w:ascii="Times New Roman" w:hAnsi="Times New Roman" w:cs="Times New Roman"/>
          <w:sz w:val="24"/>
          <w:szCs w:val="24"/>
        </w:rPr>
        <w:t xml:space="preserve">the </w:t>
      </w:r>
      <w:r w:rsidRPr="00692138">
        <w:rPr>
          <w:rFonts w:ascii="Times New Roman" w:hAnsi="Times New Roman" w:cs="Times New Roman"/>
          <w:sz w:val="24"/>
          <w:szCs w:val="24"/>
        </w:rPr>
        <w:t xml:space="preserve">family finances, while he was always fishing at sea.  The evidence was that Mrs Murray paid all the bills and gave him personal money for his personal use as he needed it from time to time.  </w:t>
      </w:r>
    </w:p>
    <w:p w14:paraId="7EB9A981" w14:textId="4F40B16A" w:rsidR="00BA577F" w:rsidRPr="00692138" w:rsidRDefault="00E2468E" w:rsidP="00692138">
      <w:pPr>
        <w:pStyle w:val="ListParagraph"/>
        <w:numPr>
          <w:ilvl w:val="1"/>
          <w:numId w:val="7"/>
        </w:numPr>
        <w:spacing w:line="480" w:lineRule="auto"/>
        <w:ind w:left="709" w:hanging="709"/>
        <w:jc w:val="both"/>
        <w:rPr>
          <w:rFonts w:ascii="Times New Roman" w:hAnsi="Times New Roman" w:cs="Times New Roman"/>
          <w:b/>
          <w:bCs/>
          <w:sz w:val="24"/>
          <w:szCs w:val="24"/>
        </w:rPr>
      </w:pPr>
      <w:r w:rsidRPr="00692138">
        <w:rPr>
          <w:rFonts w:ascii="Times New Roman" w:hAnsi="Times New Roman" w:cs="Times New Roman"/>
          <w:sz w:val="24"/>
          <w:szCs w:val="24"/>
        </w:rPr>
        <w:t xml:space="preserve">The Murray proceedings </w:t>
      </w:r>
      <w:r w:rsidR="007F2EB9" w:rsidRPr="00692138">
        <w:rPr>
          <w:rFonts w:ascii="Times New Roman" w:hAnsi="Times New Roman" w:cs="Times New Roman"/>
          <w:sz w:val="24"/>
          <w:szCs w:val="24"/>
        </w:rPr>
        <w:t xml:space="preserve">arose from two loans advanced </w:t>
      </w:r>
      <w:r w:rsidR="00F62895">
        <w:rPr>
          <w:rFonts w:ascii="Times New Roman" w:hAnsi="Times New Roman" w:cs="Times New Roman"/>
          <w:sz w:val="24"/>
          <w:szCs w:val="24"/>
        </w:rPr>
        <w:t>by</w:t>
      </w:r>
      <w:r w:rsidR="007F2EB9" w:rsidRPr="00692138">
        <w:rPr>
          <w:rFonts w:ascii="Times New Roman" w:hAnsi="Times New Roman" w:cs="Times New Roman"/>
          <w:sz w:val="24"/>
          <w:szCs w:val="24"/>
        </w:rPr>
        <w:t xml:space="preserve"> Bank of Ireland Mortgage Bank (“the Bank”)</w:t>
      </w:r>
      <w:r w:rsidR="0082715F" w:rsidRPr="00692138">
        <w:rPr>
          <w:rFonts w:ascii="Times New Roman" w:hAnsi="Times New Roman" w:cs="Times New Roman"/>
          <w:sz w:val="24"/>
          <w:szCs w:val="24"/>
        </w:rPr>
        <w:t xml:space="preserve">, </w:t>
      </w:r>
      <w:r w:rsidR="0082715F" w:rsidRPr="00F62895">
        <w:rPr>
          <w:rFonts w:ascii="Times New Roman" w:hAnsi="Times New Roman" w:cs="Times New Roman"/>
          <w:i/>
          <w:iCs/>
          <w:sz w:val="24"/>
          <w:szCs w:val="24"/>
        </w:rPr>
        <w:t>via</w:t>
      </w:r>
      <w:r w:rsidR="0082715F" w:rsidRPr="00692138">
        <w:rPr>
          <w:rFonts w:ascii="Times New Roman" w:hAnsi="Times New Roman" w:cs="Times New Roman"/>
          <w:sz w:val="24"/>
          <w:szCs w:val="24"/>
        </w:rPr>
        <w:t xml:space="preserve"> the Bank of Ireland branch in Killybegs</w:t>
      </w:r>
      <w:r w:rsidR="00F62895">
        <w:rPr>
          <w:rFonts w:ascii="Times New Roman" w:hAnsi="Times New Roman" w:cs="Times New Roman"/>
          <w:sz w:val="24"/>
          <w:szCs w:val="24"/>
        </w:rPr>
        <w:t>,</w:t>
      </w:r>
      <w:r w:rsidR="0082715F" w:rsidRPr="00692138">
        <w:rPr>
          <w:rFonts w:ascii="Times New Roman" w:hAnsi="Times New Roman" w:cs="Times New Roman"/>
          <w:sz w:val="24"/>
          <w:szCs w:val="24"/>
        </w:rPr>
        <w:t xml:space="preserve"> </w:t>
      </w:r>
      <w:r w:rsidR="00B74DFB" w:rsidRPr="00692138">
        <w:rPr>
          <w:rFonts w:ascii="Times New Roman" w:hAnsi="Times New Roman" w:cs="Times New Roman"/>
          <w:sz w:val="24"/>
          <w:szCs w:val="24"/>
        </w:rPr>
        <w:t>ostensibly</w:t>
      </w:r>
      <w:r w:rsidR="0082715F" w:rsidRPr="00692138">
        <w:rPr>
          <w:rFonts w:ascii="Times New Roman" w:hAnsi="Times New Roman" w:cs="Times New Roman"/>
          <w:sz w:val="24"/>
          <w:szCs w:val="24"/>
        </w:rPr>
        <w:t xml:space="preserve"> to both Mr and Mrs Murray</w:t>
      </w:r>
      <w:r w:rsidR="00F62895">
        <w:rPr>
          <w:rFonts w:ascii="Times New Roman" w:hAnsi="Times New Roman" w:cs="Times New Roman"/>
          <w:sz w:val="24"/>
          <w:szCs w:val="24"/>
        </w:rPr>
        <w:t>,</w:t>
      </w:r>
      <w:r w:rsidR="0082715F" w:rsidRPr="00692138">
        <w:rPr>
          <w:rFonts w:ascii="Times New Roman" w:hAnsi="Times New Roman" w:cs="Times New Roman"/>
          <w:sz w:val="24"/>
          <w:szCs w:val="24"/>
        </w:rPr>
        <w:t xml:space="preserve"> which I will describe as the 2003 loan and the 2007 loan.  </w:t>
      </w:r>
      <w:r w:rsidR="00B74DFB" w:rsidRPr="00692138">
        <w:rPr>
          <w:rFonts w:ascii="Times New Roman" w:hAnsi="Times New Roman" w:cs="Times New Roman"/>
          <w:sz w:val="24"/>
          <w:szCs w:val="24"/>
        </w:rPr>
        <w:t xml:space="preserve">The </w:t>
      </w:r>
      <w:r w:rsidR="007F2EB9" w:rsidRPr="00692138">
        <w:rPr>
          <w:rFonts w:ascii="Times New Roman" w:hAnsi="Times New Roman" w:cs="Times New Roman"/>
          <w:sz w:val="24"/>
          <w:szCs w:val="24"/>
        </w:rPr>
        <w:t xml:space="preserve">  </w:t>
      </w:r>
      <w:r w:rsidR="00B74DFB" w:rsidRPr="00692138">
        <w:rPr>
          <w:rFonts w:ascii="Times New Roman" w:hAnsi="Times New Roman" w:cs="Times New Roman"/>
          <w:sz w:val="24"/>
          <w:szCs w:val="24"/>
        </w:rPr>
        <w:t xml:space="preserve">2003 loan was </w:t>
      </w:r>
      <w:r w:rsidR="00E00317" w:rsidRPr="00692138">
        <w:rPr>
          <w:rFonts w:ascii="Times New Roman" w:hAnsi="Times New Roman" w:cs="Times New Roman"/>
          <w:sz w:val="24"/>
          <w:szCs w:val="24"/>
        </w:rPr>
        <w:t>for €40,000</w:t>
      </w:r>
      <w:r w:rsidR="00D30F4E">
        <w:rPr>
          <w:rFonts w:ascii="Times New Roman" w:hAnsi="Times New Roman" w:cs="Times New Roman"/>
          <w:sz w:val="24"/>
          <w:szCs w:val="24"/>
        </w:rPr>
        <w:t>.00</w:t>
      </w:r>
      <w:r w:rsidR="00E00317" w:rsidRPr="00692138">
        <w:rPr>
          <w:rFonts w:ascii="Times New Roman" w:hAnsi="Times New Roman" w:cs="Times New Roman"/>
          <w:sz w:val="24"/>
          <w:szCs w:val="24"/>
        </w:rPr>
        <w:t xml:space="preserve"> and was for the purposes of part</w:t>
      </w:r>
      <w:r w:rsidR="00BA577F" w:rsidRPr="00692138">
        <w:rPr>
          <w:rFonts w:ascii="Times New Roman" w:hAnsi="Times New Roman" w:cs="Times New Roman"/>
          <w:sz w:val="24"/>
          <w:szCs w:val="24"/>
        </w:rPr>
        <w:t>-funding</w:t>
      </w:r>
      <w:r w:rsidR="00E00317" w:rsidRPr="00692138">
        <w:rPr>
          <w:rFonts w:ascii="Times New Roman" w:hAnsi="Times New Roman" w:cs="Times New Roman"/>
          <w:sz w:val="24"/>
          <w:szCs w:val="24"/>
        </w:rPr>
        <w:t xml:space="preserve"> a holiday apartment in Spain.  </w:t>
      </w:r>
      <w:proofErr w:type="gramStart"/>
      <w:r w:rsidR="00E00317" w:rsidRPr="00692138">
        <w:rPr>
          <w:rFonts w:ascii="Times New Roman" w:hAnsi="Times New Roman" w:cs="Times New Roman"/>
          <w:sz w:val="24"/>
          <w:szCs w:val="24"/>
        </w:rPr>
        <w:t>A number of</w:t>
      </w:r>
      <w:proofErr w:type="gramEnd"/>
      <w:r w:rsidR="00E00317" w:rsidRPr="00692138">
        <w:rPr>
          <w:rFonts w:ascii="Times New Roman" w:hAnsi="Times New Roman" w:cs="Times New Roman"/>
          <w:sz w:val="24"/>
          <w:szCs w:val="24"/>
        </w:rPr>
        <w:t xml:space="preserve"> the </w:t>
      </w:r>
      <w:r w:rsidR="00BA577F" w:rsidRPr="00692138">
        <w:rPr>
          <w:rFonts w:ascii="Times New Roman" w:hAnsi="Times New Roman" w:cs="Times New Roman"/>
          <w:sz w:val="24"/>
          <w:szCs w:val="24"/>
        </w:rPr>
        <w:t xml:space="preserve">usual type of documents were apparently executed by the </w:t>
      </w:r>
      <w:r w:rsidR="002A0A8E" w:rsidRPr="00692138">
        <w:rPr>
          <w:rFonts w:ascii="Times New Roman" w:hAnsi="Times New Roman" w:cs="Times New Roman"/>
          <w:sz w:val="24"/>
          <w:szCs w:val="24"/>
        </w:rPr>
        <w:t>Defendants</w:t>
      </w:r>
      <w:r w:rsidR="00BA577F" w:rsidRPr="00692138">
        <w:rPr>
          <w:rFonts w:ascii="Times New Roman" w:hAnsi="Times New Roman" w:cs="Times New Roman"/>
          <w:sz w:val="24"/>
          <w:szCs w:val="24"/>
        </w:rPr>
        <w:t xml:space="preserve"> in connection with the loan agreement</w:t>
      </w:r>
      <w:r w:rsidR="00F62895">
        <w:rPr>
          <w:rFonts w:ascii="Times New Roman" w:hAnsi="Times New Roman" w:cs="Times New Roman"/>
          <w:sz w:val="24"/>
          <w:szCs w:val="24"/>
        </w:rPr>
        <w:t>,</w:t>
      </w:r>
      <w:r w:rsidR="00BA577F" w:rsidRPr="00692138">
        <w:rPr>
          <w:rFonts w:ascii="Times New Roman" w:hAnsi="Times New Roman" w:cs="Times New Roman"/>
          <w:sz w:val="24"/>
          <w:szCs w:val="24"/>
        </w:rPr>
        <w:t xml:space="preserve"> including a </w:t>
      </w:r>
      <w:r w:rsidR="00F62895">
        <w:rPr>
          <w:rFonts w:ascii="Times New Roman" w:hAnsi="Times New Roman" w:cs="Times New Roman"/>
          <w:sz w:val="24"/>
          <w:szCs w:val="24"/>
        </w:rPr>
        <w:t>D</w:t>
      </w:r>
      <w:r w:rsidR="00BA577F" w:rsidRPr="00692138">
        <w:rPr>
          <w:rFonts w:ascii="Times New Roman" w:hAnsi="Times New Roman" w:cs="Times New Roman"/>
          <w:sz w:val="24"/>
          <w:szCs w:val="24"/>
        </w:rPr>
        <w:t xml:space="preserve">eed of </w:t>
      </w:r>
      <w:r w:rsidR="00F62895">
        <w:rPr>
          <w:rFonts w:ascii="Times New Roman" w:hAnsi="Times New Roman" w:cs="Times New Roman"/>
          <w:sz w:val="24"/>
          <w:szCs w:val="24"/>
        </w:rPr>
        <w:t>C</w:t>
      </w:r>
      <w:r w:rsidR="00BA577F" w:rsidRPr="00692138">
        <w:rPr>
          <w:rFonts w:ascii="Times New Roman" w:hAnsi="Times New Roman" w:cs="Times New Roman"/>
          <w:sz w:val="24"/>
          <w:szCs w:val="24"/>
        </w:rPr>
        <w:t>harge securing the loan by way of creating a mortgage over the family home</w:t>
      </w:r>
      <w:r w:rsidR="002A0A8E" w:rsidRPr="00692138">
        <w:rPr>
          <w:rFonts w:ascii="Times New Roman" w:hAnsi="Times New Roman" w:cs="Times New Roman"/>
          <w:sz w:val="24"/>
          <w:szCs w:val="24"/>
        </w:rPr>
        <w:t>.</w:t>
      </w:r>
    </w:p>
    <w:p w14:paraId="69B46A1A" w14:textId="7C1CC260" w:rsidR="00AF4EBB" w:rsidRPr="00692138" w:rsidRDefault="00BA577F" w:rsidP="00692138">
      <w:pPr>
        <w:pStyle w:val="ListParagraph"/>
        <w:numPr>
          <w:ilvl w:val="1"/>
          <w:numId w:val="7"/>
        </w:numPr>
        <w:spacing w:line="480" w:lineRule="auto"/>
        <w:ind w:left="709" w:hanging="709"/>
        <w:jc w:val="both"/>
        <w:rPr>
          <w:rFonts w:ascii="Times New Roman" w:hAnsi="Times New Roman" w:cs="Times New Roman"/>
          <w:b/>
          <w:bCs/>
          <w:sz w:val="24"/>
          <w:szCs w:val="24"/>
        </w:rPr>
      </w:pPr>
      <w:r w:rsidRPr="00692138">
        <w:rPr>
          <w:rFonts w:ascii="Times New Roman" w:hAnsi="Times New Roman" w:cs="Times New Roman"/>
          <w:sz w:val="24"/>
          <w:szCs w:val="24"/>
        </w:rPr>
        <w:t xml:space="preserve">The 2007 loan was </w:t>
      </w:r>
      <w:r w:rsidR="00F62895">
        <w:rPr>
          <w:rFonts w:ascii="Times New Roman" w:hAnsi="Times New Roman" w:cs="Times New Roman"/>
          <w:sz w:val="24"/>
          <w:szCs w:val="24"/>
        </w:rPr>
        <w:t xml:space="preserve">for </w:t>
      </w:r>
      <w:r w:rsidR="002A0A8E" w:rsidRPr="00692138">
        <w:rPr>
          <w:rFonts w:ascii="Times New Roman" w:hAnsi="Times New Roman" w:cs="Times New Roman"/>
          <w:sz w:val="24"/>
          <w:szCs w:val="24"/>
        </w:rPr>
        <w:t>the</w:t>
      </w:r>
      <w:r w:rsidRPr="00692138">
        <w:rPr>
          <w:rFonts w:ascii="Times New Roman" w:hAnsi="Times New Roman" w:cs="Times New Roman"/>
          <w:sz w:val="24"/>
          <w:szCs w:val="24"/>
        </w:rPr>
        <w:t xml:space="preserve"> significantly higher sum of €200,00</w:t>
      </w:r>
      <w:r w:rsidR="00F62895">
        <w:rPr>
          <w:rFonts w:ascii="Times New Roman" w:hAnsi="Times New Roman" w:cs="Times New Roman"/>
          <w:sz w:val="24"/>
          <w:szCs w:val="24"/>
        </w:rPr>
        <w:t>0</w:t>
      </w:r>
      <w:r w:rsidR="00D30F4E">
        <w:rPr>
          <w:rFonts w:ascii="Times New Roman" w:hAnsi="Times New Roman" w:cs="Times New Roman"/>
          <w:sz w:val="24"/>
          <w:szCs w:val="24"/>
        </w:rPr>
        <w:t>.00</w:t>
      </w:r>
      <w:r w:rsidRPr="00692138">
        <w:rPr>
          <w:rFonts w:ascii="Times New Roman" w:hAnsi="Times New Roman" w:cs="Times New Roman"/>
          <w:sz w:val="24"/>
          <w:szCs w:val="24"/>
        </w:rPr>
        <w:t xml:space="preserve"> repayable over </w:t>
      </w:r>
      <w:r w:rsidR="002A0A8E" w:rsidRPr="00692138">
        <w:rPr>
          <w:rFonts w:ascii="Times New Roman" w:hAnsi="Times New Roman" w:cs="Times New Roman"/>
          <w:sz w:val="24"/>
          <w:szCs w:val="24"/>
        </w:rPr>
        <w:t>20 years</w:t>
      </w:r>
      <w:r w:rsidR="00F62895">
        <w:rPr>
          <w:rFonts w:ascii="Times New Roman" w:hAnsi="Times New Roman" w:cs="Times New Roman"/>
          <w:sz w:val="24"/>
          <w:szCs w:val="24"/>
        </w:rPr>
        <w:t>,</w:t>
      </w:r>
      <w:r w:rsidR="002A0A8E" w:rsidRPr="00692138">
        <w:rPr>
          <w:rFonts w:ascii="Times New Roman" w:hAnsi="Times New Roman" w:cs="Times New Roman"/>
          <w:sz w:val="24"/>
          <w:szCs w:val="24"/>
        </w:rPr>
        <w:t xml:space="preserve"> for the stated purpose of building an “investment property” next door to the </w:t>
      </w:r>
      <w:r w:rsidR="00F62895">
        <w:rPr>
          <w:rFonts w:ascii="Times New Roman" w:hAnsi="Times New Roman" w:cs="Times New Roman"/>
          <w:sz w:val="24"/>
          <w:szCs w:val="24"/>
        </w:rPr>
        <w:t>D</w:t>
      </w:r>
      <w:r w:rsidR="00AF4EBB" w:rsidRPr="00692138">
        <w:rPr>
          <w:rFonts w:ascii="Times New Roman" w:hAnsi="Times New Roman" w:cs="Times New Roman"/>
          <w:sz w:val="24"/>
          <w:szCs w:val="24"/>
        </w:rPr>
        <w:t>efendant</w:t>
      </w:r>
      <w:r w:rsidR="00F62895">
        <w:rPr>
          <w:rFonts w:ascii="Times New Roman" w:hAnsi="Times New Roman" w:cs="Times New Roman"/>
          <w:sz w:val="24"/>
          <w:szCs w:val="24"/>
        </w:rPr>
        <w:t>s’</w:t>
      </w:r>
      <w:r w:rsidR="002A0A8E" w:rsidRPr="00692138">
        <w:rPr>
          <w:rFonts w:ascii="Times New Roman" w:hAnsi="Times New Roman" w:cs="Times New Roman"/>
          <w:sz w:val="24"/>
          <w:szCs w:val="24"/>
        </w:rPr>
        <w:t xml:space="preserve"> residence and to be secure</w:t>
      </w:r>
      <w:r w:rsidR="00F62895">
        <w:rPr>
          <w:rFonts w:ascii="Times New Roman" w:hAnsi="Times New Roman" w:cs="Times New Roman"/>
          <w:sz w:val="24"/>
          <w:szCs w:val="24"/>
        </w:rPr>
        <w:t>d</w:t>
      </w:r>
      <w:r w:rsidR="002A0A8E" w:rsidRPr="00692138">
        <w:rPr>
          <w:rFonts w:ascii="Times New Roman" w:hAnsi="Times New Roman" w:cs="Times New Roman"/>
          <w:sz w:val="24"/>
          <w:szCs w:val="24"/>
        </w:rPr>
        <w:t xml:space="preserve"> on the existing charge held </w:t>
      </w:r>
      <w:r w:rsidR="00F62895">
        <w:rPr>
          <w:rFonts w:ascii="Times New Roman" w:hAnsi="Times New Roman" w:cs="Times New Roman"/>
          <w:sz w:val="24"/>
          <w:szCs w:val="24"/>
        </w:rPr>
        <w:t>by</w:t>
      </w:r>
      <w:r w:rsidR="00AF4EBB" w:rsidRPr="00692138">
        <w:rPr>
          <w:rFonts w:ascii="Times New Roman" w:hAnsi="Times New Roman" w:cs="Times New Roman"/>
          <w:sz w:val="24"/>
          <w:szCs w:val="24"/>
        </w:rPr>
        <w:t xml:space="preserve"> the Bank.  Again, </w:t>
      </w:r>
      <w:proofErr w:type="gramStart"/>
      <w:r w:rsidR="00AF4EBB" w:rsidRPr="00692138">
        <w:rPr>
          <w:rFonts w:ascii="Times New Roman" w:hAnsi="Times New Roman" w:cs="Times New Roman"/>
          <w:sz w:val="24"/>
          <w:szCs w:val="24"/>
        </w:rPr>
        <w:lastRenderedPageBreak/>
        <w:t>a large number of</w:t>
      </w:r>
      <w:proofErr w:type="gramEnd"/>
      <w:r w:rsidR="00AF4EBB" w:rsidRPr="00692138">
        <w:rPr>
          <w:rFonts w:ascii="Times New Roman" w:hAnsi="Times New Roman" w:cs="Times New Roman"/>
          <w:sz w:val="24"/>
          <w:szCs w:val="24"/>
        </w:rPr>
        <w:t xml:space="preserve"> documents were executed, or apparently executed</w:t>
      </w:r>
      <w:r w:rsidR="00F62895">
        <w:rPr>
          <w:rFonts w:ascii="Times New Roman" w:hAnsi="Times New Roman" w:cs="Times New Roman"/>
          <w:sz w:val="24"/>
          <w:szCs w:val="24"/>
        </w:rPr>
        <w:t>,</w:t>
      </w:r>
      <w:r w:rsidR="00AF4EBB" w:rsidRPr="00692138">
        <w:rPr>
          <w:rFonts w:ascii="Times New Roman" w:hAnsi="Times New Roman" w:cs="Times New Roman"/>
          <w:sz w:val="24"/>
          <w:szCs w:val="24"/>
        </w:rPr>
        <w:t xml:space="preserve"> by the Defendants in connection with the loan, including an amended loan offer letter and acceptance.</w:t>
      </w:r>
    </w:p>
    <w:p w14:paraId="3F202352" w14:textId="1FEADC11" w:rsidR="00AF2600" w:rsidRPr="00692138" w:rsidRDefault="00AF4EBB" w:rsidP="00692138">
      <w:pPr>
        <w:pStyle w:val="ListParagraph"/>
        <w:numPr>
          <w:ilvl w:val="1"/>
          <w:numId w:val="7"/>
        </w:numPr>
        <w:spacing w:line="480" w:lineRule="auto"/>
        <w:ind w:left="709" w:hanging="709"/>
        <w:jc w:val="both"/>
        <w:rPr>
          <w:rFonts w:ascii="Times New Roman" w:hAnsi="Times New Roman" w:cs="Times New Roman"/>
          <w:b/>
          <w:bCs/>
          <w:sz w:val="24"/>
          <w:szCs w:val="24"/>
        </w:rPr>
      </w:pPr>
      <w:r w:rsidRPr="00692138">
        <w:rPr>
          <w:rFonts w:ascii="Times New Roman" w:hAnsi="Times New Roman" w:cs="Times New Roman"/>
          <w:sz w:val="24"/>
          <w:szCs w:val="24"/>
        </w:rPr>
        <w:t xml:space="preserve">One of the relevant loan documents was a document </w:t>
      </w:r>
      <w:r w:rsidR="00C45A40" w:rsidRPr="00692138">
        <w:rPr>
          <w:rFonts w:ascii="Times New Roman" w:hAnsi="Times New Roman" w:cs="Times New Roman"/>
          <w:sz w:val="24"/>
          <w:szCs w:val="24"/>
        </w:rPr>
        <w:t xml:space="preserve">entitled “Confirmation of Marital Status” (“the </w:t>
      </w:r>
      <w:r w:rsidR="00B20CEC">
        <w:rPr>
          <w:rFonts w:ascii="Times New Roman" w:hAnsi="Times New Roman" w:cs="Times New Roman"/>
          <w:sz w:val="24"/>
          <w:szCs w:val="24"/>
        </w:rPr>
        <w:t>c</w:t>
      </w:r>
      <w:r w:rsidR="00C45A40" w:rsidRPr="00692138">
        <w:rPr>
          <w:rFonts w:ascii="Times New Roman" w:hAnsi="Times New Roman" w:cs="Times New Roman"/>
          <w:sz w:val="24"/>
          <w:szCs w:val="24"/>
        </w:rPr>
        <w:t xml:space="preserve">onfirmation </w:t>
      </w:r>
      <w:r w:rsidR="00B20CEC">
        <w:rPr>
          <w:rFonts w:ascii="Times New Roman" w:hAnsi="Times New Roman" w:cs="Times New Roman"/>
          <w:sz w:val="24"/>
          <w:szCs w:val="24"/>
        </w:rPr>
        <w:t>d</w:t>
      </w:r>
      <w:r w:rsidR="00C45A40" w:rsidRPr="00692138">
        <w:rPr>
          <w:rFonts w:ascii="Times New Roman" w:hAnsi="Times New Roman" w:cs="Times New Roman"/>
          <w:sz w:val="24"/>
          <w:szCs w:val="24"/>
        </w:rPr>
        <w:t xml:space="preserve">ocument”).  The purpose of the </w:t>
      </w:r>
      <w:r w:rsidR="00B20CEC">
        <w:rPr>
          <w:rFonts w:ascii="Times New Roman" w:hAnsi="Times New Roman" w:cs="Times New Roman"/>
          <w:sz w:val="24"/>
          <w:szCs w:val="24"/>
        </w:rPr>
        <w:t>c</w:t>
      </w:r>
      <w:r w:rsidR="00C45A40" w:rsidRPr="00692138">
        <w:rPr>
          <w:rFonts w:ascii="Times New Roman" w:hAnsi="Times New Roman" w:cs="Times New Roman"/>
          <w:sz w:val="24"/>
          <w:szCs w:val="24"/>
        </w:rPr>
        <w:t xml:space="preserve">onfirmation </w:t>
      </w:r>
      <w:r w:rsidR="00B20CEC">
        <w:rPr>
          <w:rFonts w:ascii="Times New Roman" w:hAnsi="Times New Roman" w:cs="Times New Roman"/>
          <w:sz w:val="24"/>
          <w:szCs w:val="24"/>
        </w:rPr>
        <w:t>d</w:t>
      </w:r>
      <w:r w:rsidR="00C45A40" w:rsidRPr="00692138">
        <w:rPr>
          <w:rFonts w:ascii="Times New Roman" w:hAnsi="Times New Roman" w:cs="Times New Roman"/>
          <w:sz w:val="24"/>
          <w:szCs w:val="24"/>
        </w:rPr>
        <w:t xml:space="preserve">ocument was to insure that in a case of a loan application by a married couple involving a family home, each spouse/borrower would sign the document to confirm that they were in fact joint </w:t>
      </w:r>
      <w:proofErr w:type="gramStart"/>
      <w:r w:rsidR="00C45A40" w:rsidRPr="00692138">
        <w:rPr>
          <w:rFonts w:ascii="Times New Roman" w:hAnsi="Times New Roman" w:cs="Times New Roman"/>
          <w:sz w:val="24"/>
          <w:szCs w:val="24"/>
        </w:rPr>
        <w:t>borrowers</w:t>
      </w:r>
      <w:r w:rsidR="00372E8F" w:rsidRPr="00692138">
        <w:rPr>
          <w:rFonts w:ascii="Times New Roman" w:hAnsi="Times New Roman" w:cs="Times New Roman"/>
          <w:sz w:val="24"/>
          <w:szCs w:val="24"/>
        </w:rPr>
        <w:t>,</w:t>
      </w:r>
      <w:r w:rsidR="00C45A40" w:rsidRPr="00692138">
        <w:rPr>
          <w:rFonts w:ascii="Times New Roman" w:hAnsi="Times New Roman" w:cs="Times New Roman"/>
          <w:sz w:val="24"/>
          <w:szCs w:val="24"/>
        </w:rPr>
        <w:t xml:space="preserve"> and</w:t>
      </w:r>
      <w:proofErr w:type="gramEnd"/>
      <w:r w:rsidR="00C45A40" w:rsidRPr="00692138">
        <w:rPr>
          <w:rFonts w:ascii="Times New Roman" w:hAnsi="Times New Roman" w:cs="Times New Roman"/>
          <w:sz w:val="24"/>
          <w:szCs w:val="24"/>
        </w:rPr>
        <w:t xml:space="preserve"> </w:t>
      </w:r>
      <w:r w:rsidR="00372E8F" w:rsidRPr="00692138">
        <w:rPr>
          <w:rFonts w:ascii="Times New Roman" w:hAnsi="Times New Roman" w:cs="Times New Roman"/>
          <w:sz w:val="24"/>
          <w:szCs w:val="24"/>
        </w:rPr>
        <w:t xml:space="preserve">were joint owners of the property.  The document was also designed to </w:t>
      </w:r>
      <w:r w:rsidR="003613A5" w:rsidRPr="00692138">
        <w:rPr>
          <w:rFonts w:ascii="Times New Roman" w:hAnsi="Times New Roman" w:cs="Times New Roman"/>
          <w:sz w:val="24"/>
          <w:szCs w:val="24"/>
        </w:rPr>
        <w:t>confirm that they were married to each other, and that their marital status had not changed since the original</w:t>
      </w:r>
      <w:r w:rsidR="007E1893" w:rsidRPr="00692138">
        <w:rPr>
          <w:rFonts w:ascii="Times New Roman" w:hAnsi="Times New Roman" w:cs="Times New Roman"/>
          <w:sz w:val="24"/>
          <w:szCs w:val="24"/>
        </w:rPr>
        <w:t xml:space="preserve"> mortgage</w:t>
      </w:r>
      <w:r w:rsidR="003613A5" w:rsidRPr="00692138">
        <w:rPr>
          <w:rFonts w:ascii="Times New Roman" w:hAnsi="Times New Roman" w:cs="Times New Roman"/>
          <w:sz w:val="24"/>
          <w:szCs w:val="24"/>
        </w:rPr>
        <w:t xml:space="preserve">.  It was thus necessary in this case for Mr Murray and Mrs Murray to certify each of the above matters, by signing </w:t>
      </w:r>
      <w:r w:rsidR="007E1893" w:rsidRPr="00692138">
        <w:rPr>
          <w:rFonts w:ascii="Times New Roman" w:hAnsi="Times New Roman" w:cs="Times New Roman"/>
          <w:sz w:val="24"/>
          <w:szCs w:val="24"/>
        </w:rPr>
        <w:t xml:space="preserve">the relevant section of the document.  </w:t>
      </w:r>
    </w:p>
    <w:p w14:paraId="64F2F66C" w14:textId="7FE31A21" w:rsidR="00AF4EBB" w:rsidRPr="00692138" w:rsidRDefault="00AF2600" w:rsidP="00692138">
      <w:pPr>
        <w:pStyle w:val="ListParagraph"/>
        <w:numPr>
          <w:ilvl w:val="1"/>
          <w:numId w:val="7"/>
        </w:numPr>
        <w:spacing w:line="480" w:lineRule="auto"/>
        <w:ind w:left="709" w:hanging="709"/>
        <w:jc w:val="both"/>
        <w:rPr>
          <w:rFonts w:ascii="Times New Roman" w:hAnsi="Times New Roman" w:cs="Times New Roman"/>
          <w:b/>
          <w:bCs/>
          <w:sz w:val="24"/>
          <w:szCs w:val="24"/>
        </w:rPr>
      </w:pPr>
      <w:r w:rsidRPr="00692138">
        <w:rPr>
          <w:rFonts w:ascii="Times New Roman" w:hAnsi="Times New Roman" w:cs="Times New Roman"/>
          <w:sz w:val="24"/>
          <w:szCs w:val="24"/>
        </w:rPr>
        <w:t>In addition, and of significance, i</w:t>
      </w:r>
      <w:r w:rsidR="007E1893" w:rsidRPr="00692138">
        <w:rPr>
          <w:rFonts w:ascii="Times New Roman" w:hAnsi="Times New Roman" w:cs="Times New Roman"/>
          <w:sz w:val="24"/>
          <w:szCs w:val="24"/>
        </w:rPr>
        <w:t xml:space="preserve">t was also necessary for the Bank’s mortgage advisor to provide his or her signature, alongside the signature of both spouses, </w:t>
      </w:r>
      <w:proofErr w:type="gramStart"/>
      <w:r w:rsidR="007E1893" w:rsidRPr="00692138">
        <w:rPr>
          <w:rFonts w:ascii="Times New Roman" w:hAnsi="Times New Roman" w:cs="Times New Roman"/>
          <w:sz w:val="24"/>
          <w:szCs w:val="24"/>
        </w:rPr>
        <w:t>in order to</w:t>
      </w:r>
      <w:proofErr w:type="gramEnd"/>
      <w:r w:rsidR="007E1893" w:rsidRPr="00692138">
        <w:rPr>
          <w:rFonts w:ascii="Times New Roman" w:hAnsi="Times New Roman" w:cs="Times New Roman"/>
          <w:sz w:val="24"/>
          <w:szCs w:val="24"/>
        </w:rPr>
        <w:t xml:space="preserve"> confirm that he or she had in fact witnessed the </w:t>
      </w:r>
      <w:r w:rsidRPr="00692138">
        <w:rPr>
          <w:rFonts w:ascii="Times New Roman" w:hAnsi="Times New Roman" w:cs="Times New Roman"/>
          <w:sz w:val="24"/>
          <w:szCs w:val="24"/>
        </w:rPr>
        <w:t xml:space="preserve">signature of each spouse being affixed to the </w:t>
      </w:r>
      <w:r w:rsidR="00B20CEC">
        <w:rPr>
          <w:rFonts w:ascii="Times New Roman" w:hAnsi="Times New Roman" w:cs="Times New Roman"/>
          <w:sz w:val="24"/>
          <w:szCs w:val="24"/>
        </w:rPr>
        <w:t>c</w:t>
      </w:r>
      <w:r w:rsidRPr="00692138">
        <w:rPr>
          <w:rFonts w:ascii="Times New Roman" w:hAnsi="Times New Roman" w:cs="Times New Roman"/>
          <w:sz w:val="24"/>
          <w:szCs w:val="24"/>
        </w:rPr>
        <w:t xml:space="preserve">onfirmation </w:t>
      </w:r>
      <w:r w:rsidR="00B20CEC">
        <w:rPr>
          <w:rFonts w:ascii="Times New Roman" w:hAnsi="Times New Roman" w:cs="Times New Roman"/>
          <w:sz w:val="24"/>
          <w:szCs w:val="24"/>
        </w:rPr>
        <w:t>d</w:t>
      </w:r>
      <w:r w:rsidRPr="00692138">
        <w:rPr>
          <w:rFonts w:ascii="Times New Roman" w:hAnsi="Times New Roman" w:cs="Times New Roman"/>
          <w:sz w:val="24"/>
          <w:szCs w:val="24"/>
        </w:rPr>
        <w:t xml:space="preserve">ocument.  </w:t>
      </w:r>
      <w:r w:rsidR="00BA266C" w:rsidRPr="00692138">
        <w:rPr>
          <w:rFonts w:ascii="Times New Roman" w:hAnsi="Times New Roman" w:cs="Times New Roman"/>
          <w:sz w:val="24"/>
          <w:szCs w:val="24"/>
        </w:rPr>
        <w:t xml:space="preserve">In the present case, the relevant bank manager in Killybegs purported to witness Mr Murray’s signature on the </w:t>
      </w:r>
      <w:r w:rsidR="00B20CEC">
        <w:rPr>
          <w:rFonts w:ascii="Times New Roman" w:hAnsi="Times New Roman" w:cs="Times New Roman"/>
          <w:sz w:val="24"/>
          <w:szCs w:val="24"/>
        </w:rPr>
        <w:t>c</w:t>
      </w:r>
      <w:r w:rsidR="00295096" w:rsidRPr="00692138">
        <w:rPr>
          <w:rFonts w:ascii="Times New Roman" w:hAnsi="Times New Roman" w:cs="Times New Roman"/>
          <w:sz w:val="24"/>
          <w:szCs w:val="24"/>
        </w:rPr>
        <w:t>onfirmation</w:t>
      </w:r>
      <w:r w:rsidR="00BA266C" w:rsidRPr="00692138">
        <w:rPr>
          <w:rFonts w:ascii="Times New Roman" w:hAnsi="Times New Roman" w:cs="Times New Roman"/>
          <w:sz w:val="24"/>
          <w:szCs w:val="24"/>
        </w:rPr>
        <w:t xml:space="preserve"> </w:t>
      </w:r>
      <w:r w:rsidR="00B20CEC">
        <w:rPr>
          <w:rFonts w:ascii="Times New Roman" w:hAnsi="Times New Roman" w:cs="Times New Roman"/>
          <w:sz w:val="24"/>
          <w:szCs w:val="24"/>
        </w:rPr>
        <w:t>d</w:t>
      </w:r>
      <w:r w:rsidR="00BA266C" w:rsidRPr="00692138">
        <w:rPr>
          <w:rFonts w:ascii="Times New Roman" w:hAnsi="Times New Roman" w:cs="Times New Roman"/>
          <w:sz w:val="24"/>
          <w:szCs w:val="24"/>
        </w:rPr>
        <w:t xml:space="preserve">ocument on the </w:t>
      </w:r>
      <w:proofErr w:type="gramStart"/>
      <w:r w:rsidR="00BA266C" w:rsidRPr="00692138">
        <w:rPr>
          <w:rFonts w:ascii="Times New Roman" w:hAnsi="Times New Roman" w:cs="Times New Roman"/>
          <w:sz w:val="24"/>
          <w:szCs w:val="24"/>
        </w:rPr>
        <w:t>10</w:t>
      </w:r>
      <w:r w:rsidR="00BA266C" w:rsidRPr="00692138">
        <w:rPr>
          <w:rFonts w:ascii="Times New Roman" w:hAnsi="Times New Roman" w:cs="Times New Roman"/>
          <w:sz w:val="24"/>
          <w:szCs w:val="24"/>
          <w:vertAlign w:val="superscript"/>
        </w:rPr>
        <w:t>th</w:t>
      </w:r>
      <w:proofErr w:type="gramEnd"/>
      <w:r w:rsidR="00BA266C" w:rsidRPr="00692138">
        <w:rPr>
          <w:rFonts w:ascii="Times New Roman" w:hAnsi="Times New Roman" w:cs="Times New Roman"/>
          <w:sz w:val="24"/>
          <w:szCs w:val="24"/>
        </w:rPr>
        <w:t xml:space="preserve"> May</w:t>
      </w:r>
      <w:r w:rsidR="00D30F4E">
        <w:rPr>
          <w:rFonts w:ascii="Times New Roman" w:hAnsi="Times New Roman" w:cs="Times New Roman"/>
          <w:sz w:val="24"/>
          <w:szCs w:val="24"/>
        </w:rPr>
        <w:t>,</w:t>
      </w:r>
      <w:r w:rsidR="00BA266C" w:rsidRPr="00692138">
        <w:rPr>
          <w:rFonts w:ascii="Times New Roman" w:hAnsi="Times New Roman" w:cs="Times New Roman"/>
          <w:sz w:val="24"/>
          <w:szCs w:val="24"/>
        </w:rPr>
        <w:t xml:space="preserve"> 2007.  However, his evidence at the trial was that he did not recall meeting either Mr Murray or Mrs Murray, and that he did not disagree with Mr Murray’s contention that they had </w:t>
      </w:r>
      <w:r w:rsidR="00295096" w:rsidRPr="00692138">
        <w:rPr>
          <w:rFonts w:ascii="Times New Roman" w:hAnsi="Times New Roman" w:cs="Times New Roman"/>
          <w:sz w:val="24"/>
          <w:szCs w:val="24"/>
        </w:rPr>
        <w:t>never met.  We will come back to this issue of the bank manager’s conduct a little later.</w:t>
      </w:r>
    </w:p>
    <w:p w14:paraId="3791D188" w14:textId="421781F4" w:rsidR="00295096" w:rsidRPr="00692138" w:rsidRDefault="00295096" w:rsidP="00692138">
      <w:pPr>
        <w:pStyle w:val="ListParagraph"/>
        <w:numPr>
          <w:ilvl w:val="1"/>
          <w:numId w:val="7"/>
        </w:numPr>
        <w:spacing w:line="480" w:lineRule="auto"/>
        <w:ind w:left="709" w:hanging="709"/>
        <w:jc w:val="both"/>
        <w:rPr>
          <w:rFonts w:ascii="Times New Roman" w:hAnsi="Times New Roman" w:cs="Times New Roman"/>
          <w:b/>
          <w:bCs/>
          <w:sz w:val="24"/>
          <w:szCs w:val="24"/>
        </w:rPr>
      </w:pPr>
      <w:r w:rsidRPr="00692138">
        <w:rPr>
          <w:rFonts w:ascii="Times New Roman" w:hAnsi="Times New Roman" w:cs="Times New Roman"/>
          <w:sz w:val="24"/>
          <w:szCs w:val="24"/>
        </w:rPr>
        <w:t xml:space="preserve">In </w:t>
      </w:r>
      <w:r w:rsidR="00F62895">
        <w:rPr>
          <w:rFonts w:ascii="Times New Roman" w:hAnsi="Times New Roman" w:cs="Times New Roman"/>
          <w:sz w:val="24"/>
          <w:szCs w:val="24"/>
        </w:rPr>
        <w:t>any</w:t>
      </w:r>
      <w:r w:rsidRPr="00692138">
        <w:rPr>
          <w:rFonts w:ascii="Times New Roman" w:hAnsi="Times New Roman" w:cs="Times New Roman"/>
          <w:sz w:val="24"/>
          <w:szCs w:val="24"/>
        </w:rPr>
        <w:t xml:space="preserve"> event the 2007 loan funds</w:t>
      </w:r>
      <w:r w:rsidR="00C6774C" w:rsidRPr="00692138">
        <w:rPr>
          <w:rFonts w:ascii="Times New Roman" w:hAnsi="Times New Roman" w:cs="Times New Roman"/>
          <w:sz w:val="24"/>
          <w:szCs w:val="24"/>
        </w:rPr>
        <w:t xml:space="preserve"> were drawn down from time to time on various dates between </w:t>
      </w:r>
      <w:proofErr w:type="gramStart"/>
      <w:r w:rsidR="00C6774C" w:rsidRPr="00692138">
        <w:rPr>
          <w:rFonts w:ascii="Times New Roman" w:hAnsi="Times New Roman" w:cs="Times New Roman"/>
          <w:sz w:val="24"/>
          <w:szCs w:val="24"/>
        </w:rPr>
        <w:t>June</w:t>
      </w:r>
      <w:r w:rsidR="00830843" w:rsidRPr="00692138">
        <w:rPr>
          <w:rFonts w:ascii="Times New Roman" w:hAnsi="Times New Roman" w:cs="Times New Roman"/>
          <w:sz w:val="24"/>
          <w:szCs w:val="24"/>
        </w:rPr>
        <w:t>,</w:t>
      </w:r>
      <w:proofErr w:type="gramEnd"/>
      <w:r w:rsidR="00C6774C" w:rsidRPr="00692138">
        <w:rPr>
          <w:rFonts w:ascii="Times New Roman" w:hAnsi="Times New Roman" w:cs="Times New Roman"/>
          <w:sz w:val="24"/>
          <w:szCs w:val="24"/>
        </w:rPr>
        <w:t xml:space="preserve"> 2007 and November</w:t>
      </w:r>
      <w:r w:rsidR="00830843" w:rsidRPr="00692138">
        <w:rPr>
          <w:rFonts w:ascii="Times New Roman" w:hAnsi="Times New Roman" w:cs="Times New Roman"/>
          <w:sz w:val="24"/>
          <w:szCs w:val="24"/>
        </w:rPr>
        <w:t xml:space="preserve">, </w:t>
      </w:r>
      <w:r w:rsidR="00C6774C" w:rsidRPr="00692138">
        <w:rPr>
          <w:rFonts w:ascii="Times New Roman" w:hAnsi="Times New Roman" w:cs="Times New Roman"/>
          <w:sz w:val="24"/>
          <w:szCs w:val="24"/>
        </w:rPr>
        <w:t xml:space="preserve">2009 into a mortgage account.  These funds were then transferred into a joint </w:t>
      </w:r>
      <w:r w:rsidR="00830843" w:rsidRPr="00692138">
        <w:rPr>
          <w:rFonts w:ascii="Times New Roman" w:hAnsi="Times New Roman" w:cs="Times New Roman"/>
          <w:sz w:val="24"/>
          <w:szCs w:val="24"/>
        </w:rPr>
        <w:t xml:space="preserve">current </w:t>
      </w:r>
      <w:r w:rsidR="00C6774C" w:rsidRPr="00692138">
        <w:rPr>
          <w:rFonts w:ascii="Times New Roman" w:hAnsi="Times New Roman" w:cs="Times New Roman"/>
          <w:sz w:val="24"/>
          <w:szCs w:val="24"/>
        </w:rPr>
        <w:t xml:space="preserve">account controlled by the Murrays.  </w:t>
      </w:r>
      <w:r w:rsidR="00830843" w:rsidRPr="00692138">
        <w:rPr>
          <w:rFonts w:ascii="Times New Roman" w:hAnsi="Times New Roman" w:cs="Times New Roman"/>
          <w:sz w:val="24"/>
          <w:szCs w:val="24"/>
        </w:rPr>
        <w:t xml:space="preserve">These funds were </w:t>
      </w:r>
      <w:r w:rsidR="00F2641D" w:rsidRPr="00692138">
        <w:rPr>
          <w:rFonts w:ascii="Times New Roman" w:hAnsi="Times New Roman" w:cs="Times New Roman"/>
          <w:sz w:val="24"/>
          <w:szCs w:val="24"/>
        </w:rPr>
        <w:t>subsequently used for purposes such as discharging tax liabilities of Mr Murray</w:t>
      </w:r>
      <w:r w:rsidR="00F62895">
        <w:rPr>
          <w:rFonts w:ascii="Times New Roman" w:hAnsi="Times New Roman" w:cs="Times New Roman"/>
          <w:sz w:val="24"/>
          <w:szCs w:val="24"/>
        </w:rPr>
        <w:t xml:space="preserve"> (€13,314.00 and €4,498.00 and €5,091.00)</w:t>
      </w:r>
      <w:r w:rsidR="00F2641D" w:rsidRPr="00692138">
        <w:rPr>
          <w:rFonts w:ascii="Times New Roman" w:hAnsi="Times New Roman" w:cs="Times New Roman"/>
          <w:sz w:val="24"/>
          <w:szCs w:val="24"/>
        </w:rPr>
        <w:t xml:space="preserve">, a payment made into a </w:t>
      </w:r>
      <w:r w:rsidR="0064608B" w:rsidRPr="00692138">
        <w:rPr>
          <w:rFonts w:ascii="Times New Roman" w:hAnsi="Times New Roman" w:cs="Times New Roman"/>
          <w:sz w:val="24"/>
          <w:szCs w:val="24"/>
        </w:rPr>
        <w:t xml:space="preserve">pension scheme for </w:t>
      </w:r>
      <w:r w:rsidR="0064608B" w:rsidRPr="00692138">
        <w:rPr>
          <w:rFonts w:ascii="Times New Roman" w:hAnsi="Times New Roman" w:cs="Times New Roman"/>
          <w:sz w:val="24"/>
          <w:szCs w:val="24"/>
        </w:rPr>
        <w:lastRenderedPageBreak/>
        <w:t>fishermen operated by the Department of Family and Social Affairs</w:t>
      </w:r>
      <w:r w:rsidR="00F62895">
        <w:rPr>
          <w:rFonts w:ascii="Times New Roman" w:hAnsi="Times New Roman" w:cs="Times New Roman"/>
          <w:sz w:val="24"/>
          <w:szCs w:val="24"/>
        </w:rPr>
        <w:t xml:space="preserve"> (€1,302.00),</w:t>
      </w:r>
      <w:r w:rsidR="0064608B" w:rsidRPr="00692138">
        <w:rPr>
          <w:rFonts w:ascii="Times New Roman" w:hAnsi="Times New Roman" w:cs="Times New Roman"/>
          <w:sz w:val="24"/>
          <w:szCs w:val="24"/>
        </w:rPr>
        <w:t xml:space="preserve"> and a payment to a solicitor’s firm in respect of the purchase of a field </w:t>
      </w:r>
      <w:r w:rsidR="00215F68" w:rsidRPr="00692138">
        <w:rPr>
          <w:rFonts w:ascii="Times New Roman" w:hAnsi="Times New Roman" w:cs="Times New Roman"/>
          <w:sz w:val="24"/>
          <w:szCs w:val="24"/>
        </w:rPr>
        <w:t>by Mr Murray</w:t>
      </w:r>
      <w:r w:rsidR="00F62895">
        <w:rPr>
          <w:rFonts w:ascii="Times New Roman" w:hAnsi="Times New Roman" w:cs="Times New Roman"/>
          <w:sz w:val="24"/>
          <w:szCs w:val="24"/>
        </w:rPr>
        <w:t xml:space="preserve"> (€12,000.00)</w:t>
      </w:r>
      <w:r w:rsidR="00215F68" w:rsidRPr="00692138">
        <w:rPr>
          <w:rFonts w:ascii="Times New Roman" w:hAnsi="Times New Roman" w:cs="Times New Roman"/>
          <w:sz w:val="24"/>
          <w:szCs w:val="24"/>
        </w:rPr>
        <w:t>.  No investment property was ever constructed.</w:t>
      </w:r>
    </w:p>
    <w:p w14:paraId="6436D11B" w14:textId="77B79947" w:rsidR="00215F68" w:rsidRPr="00692138" w:rsidRDefault="00215F68" w:rsidP="00692138">
      <w:pPr>
        <w:pStyle w:val="ListParagraph"/>
        <w:numPr>
          <w:ilvl w:val="1"/>
          <w:numId w:val="7"/>
        </w:numPr>
        <w:spacing w:line="480" w:lineRule="auto"/>
        <w:ind w:left="709" w:hanging="709"/>
        <w:jc w:val="both"/>
        <w:rPr>
          <w:rFonts w:ascii="Times New Roman" w:hAnsi="Times New Roman" w:cs="Times New Roman"/>
          <w:b/>
          <w:bCs/>
          <w:sz w:val="24"/>
          <w:szCs w:val="24"/>
        </w:rPr>
      </w:pPr>
      <w:r w:rsidRPr="00692138">
        <w:rPr>
          <w:rFonts w:ascii="Times New Roman" w:hAnsi="Times New Roman" w:cs="Times New Roman"/>
          <w:sz w:val="24"/>
          <w:szCs w:val="24"/>
        </w:rPr>
        <w:t xml:space="preserve">The 2003 loan was fully repaid with the balance being discharged from monies advanced under the 2007 loan.  Scheduled repayments were made in respect of the 2007 loan up to June 2012.  The Bank issued these proceedings in April 2013 with a statement of claim </w:t>
      </w:r>
      <w:r w:rsidR="00F62895">
        <w:rPr>
          <w:rFonts w:ascii="Times New Roman" w:hAnsi="Times New Roman" w:cs="Times New Roman"/>
          <w:sz w:val="24"/>
          <w:szCs w:val="24"/>
        </w:rPr>
        <w:t xml:space="preserve">claiming </w:t>
      </w:r>
      <w:r w:rsidRPr="00692138">
        <w:rPr>
          <w:rFonts w:ascii="Times New Roman" w:hAnsi="Times New Roman" w:cs="Times New Roman"/>
          <w:sz w:val="24"/>
          <w:szCs w:val="24"/>
        </w:rPr>
        <w:t xml:space="preserve">just over €185,000 made up of the principal amount plus a small amount of interest.  The Bank’s primary claim was for debt due on foot of the 2007 loan, but it also made a claim for monies </w:t>
      </w:r>
      <w:r w:rsidR="00016AA4" w:rsidRPr="00692138">
        <w:rPr>
          <w:rFonts w:ascii="Times New Roman" w:hAnsi="Times New Roman" w:cs="Times New Roman"/>
          <w:sz w:val="24"/>
          <w:szCs w:val="24"/>
        </w:rPr>
        <w:t xml:space="preserve">received by the Defendants jointly and by each of them. </w:t>
      </w:r>
    </w:p>
    <w:p w14:paraId="23085DAC" w14:textId="544A665D" w:rsidR="00016AA4" w:rsidRPr="00692138" w:rsidRDefault="00016AA4" w:rsidP="00692138">
      <w:pPr>
        <w:pStyle w:val="ListParagraph"/>
        <w:numPr>
          <w:ilvl w:val="1"/>
          <w:numId w:val="7"/>
        </w:numPr>
        <w:spacing w:line="480" w:lineRule="auto"/>
        <w:ind w:left="709" w:hanging="709"/>
        <w:jc w:val="both"/>
        <w:rPr>
          <w:rFonts w:ascii="Times New Roman" w:hAnsi="Times New Roman" w:cs="Times New Roman"/>
          <w:sz w:val="24"/>
          <w:szCs w:val="24"/>
        </w:rPr>
      </w:pPr>
      <w:r w:rsidRPr="00692138">
        <w:rPr>
          <w:rFonts w:ascii="Times New Roman" w:hAnsi="Times New Roman" w:cs="Times New Roman"/>
          <w:sz w:val="24"/>
          <w:szCs w:val="24"/>
        </w:rPr>
        <w:t>The Defendants filed separate defences</w:t>
      </w:r>
      <w:r w:rsidRPr="00692138">
        <w:rPr>
          <w:rFonts w:ascii="Times New Roman" w:hAnsi="Times New Roman" w:cs="Times New Roman"/>
          <w:b/>
          <w:bCs/>
          <w:sz w:val="24"/>
          <w:szCs w:val="24"/>
        </w:rPr>
        <w:t xml:space="preserve">.  </w:t>
      </w:r>
      <w:r w:rsidR="003358EA" w:rsidRPr="00692138">
        <w:rPr>
          <w:rFonts w:ascii="Times New Roman" w:hAnsi="Times New Roman" w:cs="Times New Roman"/>
          <w:sz w:val="24"/>
          <w:szCs w:val="24"/>
        </w:rPr>
        <w:t xml:space="preserve">In his defence, Mr Murray denied he was </w:t>
      </w:r>
      <w:r w:rsidR="00C230B5">
        <w:rPr>
          <w:rFonts w:ascii="Times New Roman" w:hAnsi="Times New Roman" w:cs="Times New Roman"/>
          <w:sz w:val="24"/>
          <w:szCs w:val="24"/>
        </w:rPr>
        <w:t xml:space="preserve">a </w:t>
      </w:r>
      <w:r w:rsidR="003358EA" w:rsidRPr="00692138">
        <w:rPr>
          <w:rFonts w:ascii="Times New Roman" w:hAnsi="Times New Roman" w:cs="Times New Roman"/>
          <w:sz w:val="24"/>
          <w:szCs w:val="24"/>
        </w:rPr>
        <w:t xml:space="preserve">party to the 2003 and 2007 loans, </w:t>
      </w:r>
      <w:r w:rsidR="00C230B5">
        <w:rPr>
          <w:rFonts w:ascii="Times New Roman" w:hAnsi="Times New Roman" w:cs="Times New Roman"/>
          <w:sz w:val="24"/>
          <w:szCs w:val="24"/>
        </w:rPr>
        <w:t xml:space="preserve">or </w:t>
      </w:r>
      <w:r w:rsidR="003358EA" w:rsidRPr="00692138">
        <w:rPr>
          <w:rFonts w:ascii="Times New Roman" w:hAnsi="Times New Roman" w:cs="Times New Roman"/>
          <w:sz w:val="24"/>
          <w:szCs w:val="24"/>
        </w:rPr>
        <w:t xml:space="preserve">that he had agreed </w:t>
      </w:r>
      <w:r w:rsidR="004D0DE3" w:rsidRPr="00692138">
        <w:rPr>
          <w:rFonts w:ascii="Times New Roman" w:hAnsi="Times New Roman" w:cs="Times New Roman"/>
          <w:sz w:val="24"/>
          <w:szCs w:val="24"/>
        </w:rPr>
        <w:t xml:space="preserve">to a charge on the </w:t>
      </w:r>
      <w:r w:rsidR="00D9531C" w:rsidRPr="00692138">
        <w:rPr>
          <w:rFonts w:ascii="Times New Roman" w:hAnsi="Times New Roman" w:cs="Times New Roman"/>
          <w:sz w:val="24"/>
          <w:szCs w:val="24"/>
        </w:rPr>
        <w:t>Defendants</w:t>
      </w:r>
      <w:r w:rsidR="004D0DE3" w:rsidRPr="00692138">
        <w:rPr>
          <w:rFonts w:ascii="Times New Roman" w:hAnsi="Times New Roman" w:cs="Times New Roman"/>
          <w:sz w:val="24"/>
          <w:szCs w:val="24"/>
        </w:rPr>
        <w:t xml:space="preserve">’ family home.  The defence appeared to </w:t>
      </w:r>
      <w:r w:rsidR="00D9531C" w:rsidRPr="00692138">
        <w:rPr>
          <w:rFonts w:ascii="Times New Roman" w:hAnsi="Times New Roman" w:cs="Times New Roman"/>
          <w:sz w:val="24"/>
          <w:szCs w:val="24"/>
        </w:rPr>
        <w:t xml:space="preserve">indicate that Mr Murray was aware of a loan being made to his wife in 2003, but </w:t>
      </w:r>
      <w:r w:rsidR="00911F72" w:rsidRPr="00692138">
        <w:rPr>
          <w:rFonts w:ascii="Times New Roman" w:hAnsi="Times New Roman" w:cs="Times New Roman"/>
          <w:sz w:val="24"/>
          <w:szCs w:val="24"/>
        </w:rPr>
        <w:t xml:space="preserve">understood it to be a personal loan facility </w:t>
      </w:r>
      <w:r w:rsidR="00C230B5">
        <w:rPr>
          <w:rFonts w:ascii="Times New Roman" w:hAnsi="Times New Roman" w:cs="Times New Roman"/>
          <w:sz w:val="24"/>
          <w:szCs w:val="24"/>
        </w:rPr>
        <w:t>which</w:t>
      </w:r>
      <w:r w:rsidR="00911F72" w:rsidRPr="00692138">
        <w:rPr>
          <w:rFonts w:ascii="Times New Roman" w:hAnsi="Times New Roman" w:cs="Times New Roman"/>
          <w:sz w:val="24"/>
          <w:szCs w:val="24"/>
        </w:rPr>
        <w:t xml:space="preserve"> was not secured by any loan on the family home, and that he was aware of a loan being made to his wife in 2007 but in an amount of only some €30,000</w:t>
      </w:r>
      <w:r w:rsidR="00F05925" w:rsidRPr="00692138">
        <w:rPr>
          <w:rFonts w:ascii="Times New Roman" w:hAnsi="Times New Roman" w:cs="Times New Roman"/>
          <w:sz w:val="24"/>
          <w:szCs w:val="24"/>
        </w:rPr>
        <w:t xml:space="preserve">, again as a personal and unsecured loan.  </w:t>
      </w:r>
    </w:p>
    <w:p w14:paraId="1F5D6BFF" w14:textId="46EA424D" w:rsidR="00942601" w:rsidRPr="00B20CEC" w:rsidRDefault="00F164BB" w:rsidP="00A35DFD">
      <w:pPr>
        <w:pStyle w:val="ListParagraph"/>
        <w:numPr>
          <w:ilvl w:val="0"/>
          <w:numId w:val="10"/>
        </w:numPr>
        <w:spacing w:line="480" w:lineRule="auto"/>
        <w:ind w:left="0" w:firstLine="0"/>
        <w:jc w:val="both"/>
        <w:rPr>
          <w:rFonts w:ascii="Times New Roman" w:hAnsi="Times New Roman" w:cs="Times New Roman"/>
          <w:b/>
          <w:bCs/>
          <w:sz w:val="24"/>
          <w:szCs w:val="24"/>
        </w:rPr>
      </w:pPr>
      <w:r w:rsidRPr="00B20CEC">
        <w:rPr>
          <w:rFonts w:ascii="Times New Roman" w:hAnsi="Times New Roman" w:cs="Times New Roman"/>
          <w:b/>
          <w:bCs/>
          <w:sz w:val="24"/>
          <w:szCs w:val="24"/>
        </w:rPr>
        <w:t xml:space="preserve">The </w:t>
      </w:r>
      <w:r w:rsidR="00942601" w:rsidRPr="00B20CEC">
        <w:rPr>
          <w:rFonts w:ascii="Times New Roman" w:hAnsi="Times New Roman" w:cs="Times New Roman"/>
          <w:b/>
          <w:bCs/>
          <w:sz w:val="24"/>
          <w:szCs w:val="24"/>
        </w:rPr>
        <w:t>High Court Judgment</w:t>
      </w:r>
    </w:p>
    <w:p w14:paraId="73158546" w14:textId="13D7D70D" w:rsidR="00B63D13" w:rsidRPr="00692138" w:rsidRDefault="002F13C2" w:rsidP="00692138">
      <w:pPr>
        <w:pStyle w:val="ListParagraph"/>
        <w:numPr>
          <w:ilvl w:val="1"/>
          <w:numId w:val="9"/>
        </w:numPr>
        <w:spacing w:line="480" w:lineRule="auto"/>
        <w:ind w:left="709" w:hanging="709"/>
        <w:jc w:val="both"/>
        <w:rPr>
          <w:rFonts w:ascii="Times New Roman" w:hAnsi="Times New Roman" w:cs="Times New Roman"/>
          <w:b/>
          <w:bCs/>
          <w:sz w:val="24"/>
          <w:szCs w:val="24"/>
        </w:rPr>
      </w:pPr>
      <w:r w:rsidRPr="00692138">
        <w:rPr>
          <w:rFonts w:ascii="Times New Roman" w:hAnsi="Times New Roman" w:cs="Times New Roman"/>
          <w:sz w:val="24"/>
          <w:szCs w:val="24"/>
        </w:rPr>
        <w:t>The High Court found that Mr Murray did not sign or execute the 2003 loa</w:t>
      </w:r>
      <w:r w:rsidR="00C230B5">
        <w:rPr>
          <w:rFonts w:ascii="Times New Roman" w:hAnsi="Times New Roman" w:cs="Times New Roman"/>
          <w:sz w:val="24"/>
          <w:szCs w:val="24"/>
        </w:rPr>
        <w:t>n</w:t>
      </w:r>
      <w:r w:rsidRPr="00692138">
        <w:rPr>
          <w:rFonts w:ascii="Times New Roman" w:hAnsi="Times New Roman" w:cs="Times New Roman"/>
          <w:sz w:val="24"/>
          <w:szCs w:val="24"/>
        </w:rPr>
        <w:t xml:space="preserve"> documents</w:t>
      </w:r>
      <w:r w:rsidR="00C230B5">
        <w:rPr>
          <w:rFonts w:ascii="Times New Roman" w:hAnsi="Times New Roman" w:cs="Times New Roman"/>
          <w:sz w:val="24"/>
          <w:szCs w:val="24"/>
        </w:rPr>
        <w:t>,</w:t>
      </w:r>
      <w:r w:rsidRPr="00692138">
        <w:rPr>
          <w:rFonts w:ascii="Times New Roman" w:hAnsi="Times New Roman" w:cs="Times New Roman"/>
          <w:sz w:val="24"/>
          <w:szCs w:val="24"/>
        </w:rPr>
        <w:t xml:space="preserve"> and that it was not until 2018 that he became aware that his wife had forged his signature on some or </w:t>
      </w:r>
      <w:proofErr w:type="gramStart"/>
      <w:r w:rsidRPr="00692138">
        <w:rPr>
          <w:rFonts w:ascii="Times New Roman" w:hAnsi="Times New Roman" w:cs="Times New Roman"/>
          <w:sz w:val="24"/>
          <w:szCs w:val="24"/>
        </w:rPr>
        <w:t>all of</w:t>
      </w:r>
      <w:proofErr w:type="gramEnd"/>
      <w:r w:rsidRPr="00692138">
        <w:rPr>
          <w:rFonts w:ascii="Times New Roman" w:hAnsi="Times New Roman" w:cs="Times New Roman"/>
          <w:sz w:val="24"/>
          <w:szCs w:val="24"/>
        </w:rPr>
        <w:t xml:space="preserve"> the documents.  As a </w:t>
      </w:r>
      <w:proofErr w:type="gramStart"/>
      <w:r w:rsidRPr="00692138">
        <w:rPr>
          <w:rFonts w:ascii="Times New Roman" w:hAnsi="Times New Roman" w:cs="Times New Roman"/>
          <w:sz w:val="24"/>
          <w:szCs w:val="24"/>
        </w:rPr>
        <w:t>result</w:t>
      </w:r>
      <w:proofErr w:type="gramEnd"/>
      <w:r w:rsidRPr="00692138">
        <w:rPr>
          <w:rFonts w:ascii="Times New Roman" w:hAnsi="Times New Roman" w:cs="Times New Roman"/>
          <w:sz w:val="24"/>
          <w:szCs w:val="24"/>
        </w:rPr>
        <w:t xml:space="preserve"> the security interest purported to be created by the Deed of Charge was void and of no effect.  </w:t>
      </w:r>
      <w:r w:rsidR="00C230B5">
        <w:rPr>
          <w:rFonts w:ascii="Times New Roman" w:hAnsi="Times New Roman" w:cs="Times New Roman"/>
          <w:sz w:val="24"/>
          <w:szCs w:val="24"/>
        </w:rPr>
        <w:t xml:space="preserve">Baker J. held that </w:t>
      </w:r>
      <w:r w:rsidR="00813813" w:rsidRPr="00692138">
        <w:rPr>
          <w:rFonts w:ascii="Times New Roman" w:hAnsi="Times New Roman" w:cs="Times New Roman"/>
          <w:sz w:val="24"/>
          <w:szCs w:val="24"/>
        </w:rPr>
        <w:t>Mr Murray had not signed the Family Home Declaration, the Deed of Charge or any of the other documents purporting to bear his signature.</w:t>
      </w:r>
    </w:p>
    <w:p w14:paraId="061418AA" w14:textId="78FA8362" w:rsidR="003D241B" w:rsidRPr="00692138" w:rsidRDefault="00F70A6D" w:rsidP="00692138">
      <w:pPr>
        <w:pStyle w:val="ListParagraph"/>
        <w:numPr>
          <w:ilvl w:val="1"/>
          <w:numId w:val="9"/>
        </w:numPr>
        <w:spacing w:line="480" w:lineRule="auto"/>
        <w:ind w:left="709" w:hanging="709"/>
        <w:jc w:val="both"/>
        <w:rPr>
          <w:rFonts w:ascii="Times New Roman" w:hAnsi="Times New Roman" w:cs="Times New Roman"/>
          <w:sz w:val="24"/>
          <w:szCs w:val="24"/>
        </w:rPr>
      </w:pPr>
      <w:r w:rsidRPr="00692138">
        <w:rPr>
          <w:rFonts w:ascii="Times New Roman" w:hAnsi="Times New Roman" w:cs="Times New Roman"/>
          <w:sz w:val="24"/>
          <w:szCs w:val="24"/>
        </w:rPr>
        <w:lastRenderedPageBreak/>
        <w:t>As regards the 2007 loan, the High Court judgment records Mr Murray’s evidence to the effect that he and his wife had agreed to acquire the site adjoining their family</w:t>
      </w:r>
      <w:r w:rsidRPr="00692138">
        <w:rPr>
          <w:rFonts w:ascii="Times New Roman" w:hAnsi="Times New Roman" w:cs="Times New Roman"/>
          <w:b/>
          <w:bCs/>
          <w:sz w:val="24"/>
          <w:szCs w:val="24"/>
        </w:rPr>
        <w:t xml:space="preserve"> </w:t>
      </w:r>
      <w:r w:rsidRPr="00692138">
        <w:rPr>
          <w:rFonts w:ascii="Times New Roman" w:hAnsi="Times New Roman" w:cs="Times New Roman"/>
          <w:sz w:val="24"/>
          <w:szCs w:val="24"/>
        </w:rPr>
        <w:t xml:space="preserve">home for €30,000, and that they agreed to borrow €30,000 for that purpose on an unsecured basis.  The Court was not satisfied that the documents related </w:t>
      </w:r>
      <w:r w:rsidR="0023725B" w:rsidRPr="00692138">
        <w:rPr>
          <w:rFonts w:ascii="Times New Roman" w:hAnsi="Times New Roman" w:cs="Times New Roman"/>
          <w:sz w:val="24"/>
          <w:szCs w:val="24"/>
        </w:rPr>
        <w:t xml:space="preserve">to the 2007 </w:t>
      </w:r>
      <w:r w:rsidR="00C230B5">
        <w:rPr>
          <w:rFonts w:ascii="Times New Roman" w:hAnsi="Times New Roman" w:cs="Times New Roman"/>
          <w:sz w:val="24"/>
          <w:szCs w:val="24"/>
        </w:rPr>
        <w:t xml:space="preserve">loan </w:t>
      </w:r>
      <w:r w:rsidR="0023725B" w:rsidRPr="00692138">
        <w:rPr>
          <w:rFonts w:ascii="Times New Roman" w:hAnsi="Times New Roman" w:cs="Times New Roman"/>
          <w:sz w:val="24"/>
          <w:szCs w:val="24"/>
        </w:rPr>
        <w:t xml:space="preserve">had been executed by Mr Murray.  The Court found that Mr Murray had become aware of the actual amount due on foot of the 2007 loan only in late </w:t>
      </w:r>
      <w:proofErr w:type="gramStart"/>
      <w:r w:rsidR="0023725B" w:rsidRPr="00692138">
        <w:rPr>
          <w:rFonts w:ascii="Times New Roman" w:hAnsi="Times New Roman" w:cs="Times New Roman"/>
          <w:sz w:val="24"/>
          <w:szCs w:val="24"/>
        </w:rPr>
        <w:t>2011, and</w:t>
      </w:r>
      <w:proofErr w:type="gramEnd"/>
      <w:r w:rsidR="0023725B" w:rsidRPr="00692138">
        <w:rPr>
          <w:rFonts w:ascii="Times New Roman" w:hAnsi="Times New Roman" w:cs="Times New Roman"/>
          <w:sz w:val="24"/>
          <w:szCs w:val="24"/>
        </w:rPr>
        <w:t xml:space="preserve"> had become aware of the existence of a mortgage on his family home only in July 2012.</w:t>
      </w:r>
    </w:p>
    <w:p w14:paraId="503CFF50" w14:textId="08A65308" w:rsidR="00CE7454" w:rsidRPr="00692138" w:rsidRDefault="00CE7454" w:rsidP="00692138">
      <w:pPr>
        <w:pStyle w:val="ListParagraph"/>
        <w:numPr>
          <w:ilvl w:val="1"/>
          <w:numId w:val="9"/>
        </w:numPr>
        <w:spacing w:line="480" w:lineRule="auto"/>
        <w:ind w:left="709" w:hanging="709"/>
        <w:jc w:val="both"/>
        <w:rPr>
          <w:rFonts w:ascii="Times New Roman" w:hAnsi="Times New Roman" w:cs="Times New Roman"/>
          <w:b/>
          <w:bCs/>
          <w:sz w:val="24"/>
          <w:szCs w:val="24"/>
        </w:rPr>
      </w:pPr>
      <w:r w:rsidRPr="00692138">
        <w:rPr>
          <w:rFonts w:ascii="Times New Roman" w:hAnsi="Times New Roman" w:cs="Times New Roman"/>
          <w:sz w:val="24"/>
          <w:szCs w:val="24"/>
        </w:rPr>
        <w:t xml:space="preserve">Judgment was awarded </w:t>
      </w:r>
      <w:r w:rsidR="00794711" w:rsidRPr="00692138">
        <w:rPr>
          <w:rFonts w:ascii="Times New Roman" w:hAnsi="Times New Roman" w:cs="Times New Roman"/>
          <w:sz w:val="24"/>
          <w:szCs w:val="24"/>
        </w:rPr>
        <w:t>a</w:t>
      </w:r>
      <w:r w:rsidR="004E6DC6" w:rsidRPr="00692138">
        <w:rPr>
          <w:rFonts w:ascii="Times New Roman" w:hAnsi="Times New Roman" w:cs="Times New Roman"/>
          <w:sz w:val="24"/>
          <w:szCs w:val="24"/>
        </w:rPr>
        <w:t xml:space="preserve">gainst Mrs Murray </w:t>
      </w:r>
      <w:r w:rsidR="004A238E" w:rsidRPr="00692138">
        <w:rPr>
          <w:rFonts w:ascii="Times New Roman" w:hAnsi="Times New Roman" w:cs="Times New Roman"/>
          <w:sz w:val="24"/>
          <w:szCs w:val="24"/>
        </w:rPr>
        <w:t xml:space="preserve">in full pursuant to the </w:t>
      </w:r>
      <w:r w:rsidR="004E6DC6" w:rsidRPr="00692138">
        <w:rPr>
          <w:rFonts w:ascii="Times New Roman" w:hAnsi="Times New Roman" w:cs="Times New Roman"/>
          <w:sz w:val="24"/>
          <w:szCs w:val="24"/>
        </w:rPr>
        <w:t xml:space="preserve">2007 loan agreement.  </w:t>
      </w:r>
      <w:r w:rsidR="004A238E" w:rsidRPr="00692138">
        <w:rPr>
          <w:rFonts w:ascii="Times New Roman" w:hAnsi="Times New Roman" w:cs="Times New Roman"/>
          <w:sz w:val="24"/>
          <w:szCs w:val="24"/>
        </w:rPr>
        <w:t xml:space="preserve">While the trial judge was not satisfied that </w:t>
      </w:r>
      <w:r w:rsidR="004E6DC6" w:rsidRPr="00692138">
        <w:rPr>
          <w:rFonts w:ascii="Times New Roman" w:hAnsi="Times New Roman" w:cs="Times New Roman"/>
          <w:sz w:val="24"/>
          <w:szCs w:val="24"/>
        </w:rPr>
        <w:t>Mr Murray</w:t>
      </w:r>
      <w:r w:rsidR="004A238E" w:rsidRPr="00692138">
        <w:rPr>
          <w:rFonts w:ascii="Times New Roman" w:hAnsi="Times New Roman" w:cs="Times New Roman"/>
          <w:sz w:val="24"/>
          <w:szCs w:val="24"/>
        </w:rPr>
        <w:t xml:space="preserve"> had signed the 2003 and 2007 loan documents purporting to bear his signature, </w:t>
      </w:r>
      <w:r w:rsidR="004E6DC6" w:rsidRPr="00692138">
        <w:rPr>
          <w:rFonts w:ascii="Times New Roman" w:hAnsi="Times New Roman" w:cs="Times New Roman"/>
          <w:sz w:val="24"/>
          <w:szCs w:val="24"/>
        </w:rPr>
        <w:t>she</w:t>
      </w:r>
      <w:r w:rsidR="004A238E" w:rsidRPr="00692138">
        <w:rPr>
          <w:rFonts w:ascii="Times New Roman" w:hAnsi="Times New Roman" w:cs="Times New Roman"/>
          <w:sz w:val="24"/>
          <w:szCs w:val="24"/>
        </w:rPr>
        <w:t xml:space="preserve"> held that the Bank was entitled to recover the principal amount from </w:t>
      </w:r>
      <w:r w:rsidR="004E6DC6" w:rsidRPr="00692138">
        <w:rPr>
          <w:rFonts w:ascii="Times New Roman" w:hAnsi="Times New Roman" w:cs="Times New Roman"/>
          <w:sz w:val="24"/>
          <w:szCs w:val="24"/>
        </w:rPr>
        <w:t>him</w:t>
      </w:r>
      <w:r w:rsidR="004A238E" w:rsidRPr="00692138">
        <w:rPr>
          <w:rFonts w:ascii="Times New Roman" w:hAnsi="Times New Roman" w:cs="Times New Roman"/>
          <w:sz w:val="24"/>
          <w:szCs w:val="24"/>
        </w:rPr>
        <w:t xml:space="preserve"> by </w:t>
      </w:r>
      <w:r w:rsidR="004E6DC6" w:rsidRPr="00692138">
        <w:rPr>
          <w:rFonts w:ascii="Times New Roman" w:hAnsi="Times New Roman" w:cs="Times New Roman"/>
          <w:sz w:val="24"/>
          <w:szCs w:val="24"/>
        </w:rPr>
        <w:t xml:space="preserve">way of restitution for repayment of money </w:t>
      </w:r>
      <w:r w:rsidR="00C230B5">
        <w:rPr>
          <w:rFonts w:ascii="Times New Roman" w:hAnsi="Times New Roman" w:cs="Times New Roman"/>
          <w:sz w:val="24"/>
          <w:szCs w:val="24"/>
        </w:rPr>
        <w:t xml:space="preserve">had and </w:t>
      </w:r>
      <w:r w:rsidR="004E6DC6" w:rsidRPr="00692138">
        <w:rPr>
          <w:rFonts w:ascii="Times New Roman" w:hAnsi="Times New Roman" w:cs="Times New Roman"/>
          <w:sz w:val="24"/>
          <w:szCs w:val="24"/>
        </w:rPr>
        <w:t xml:space="preserve">received.  </w:t>
      </w:r>
      <w:r w:rsidR="00794711" w:rsidRPr="00692138">
        <w:rPr>
          <w:rFonts w:ascii="Times New Roman" w:hAnsi="Times New Roman" w:cs="Times New Roman"/>
          <w:sz w:val="24"/>
          <w:szCs w:val="24"/>
        </w:rPr>
        <w:t xml:space="preserve">The trial judge held that Mr Murray had received the benefit of the monies advanced along with his wife at the expense of the Bank.  </w:t>
      </w:r>
    </w:p>
    <w:p w14:paraId="420B2FB4" w14:textId="45CAC312" w:rsidR="00794711" w:rsidRPr="00692138" w:rsidRDefault="00F965D4" w:rsidP="00692138">
      <w:pPr>
        <w:pStyle w:val="ListParagraph"/>
        <w:numPr>
          <w:ilvl w:val="1"/>
          <w:numId w:val="9"/>
        </w:numPr>
        <w:spacing w:line="480" w:lineRule="auto"/>
        <w:ind w:left="709" w:hanging="709"/>
        <w:jc w:val="both"/>
        <w:rPr>
          <w:rFonts w:ascii="Times New Roman" w:hAnsi="Times New Roman" w:cs="Times New Roman"/>
          <w:sz w:val="24"/>
          <w:szCs w:val="24"/>
        </w:rPr>
      </w:pPr>
      <w:r w:rsidRPr="00692138">
        <w:rPr>
          <w:rFonts w:ascii="Times New Roman" w:hAnsi="Times New Roman" w:cs="Times New Roman"/>
          <w:sz w:val="24"/>
          <w:szCs w:val="24"/>
        </w:rPr>
        <w:t xml:space="preserve">The trial judge went on to consider and reject a couple of possible defences that would deny the Bank </w:t>
      </w:r>
      <w:r w:rsidR="00C230B5">
        <w:rPr>
          <w:rFonts w:ascii="Times New Roman" w:hAnsi="Times New Roman" w:cs="Times New Roman"/>
          <w:sz w:val="24"/>
          <w:szCs w:val="24"/>
        </w:rPr>
        <w:t xml:space="preserve">a </w:t>
      </w:r>
      <w:proofErr w:type="spellStart"/>
      <w:r w:rsidRPr="00692138">
        <w:rPr>
          <w:rFonts w:ascii="Times New Roman" w:hAnsi="Times New Roman" w:cs="Times New Roman"/>
          <w:sz w:val="24"/>
          <w:szCs w:val="24"/>
        </w:rPr>
        <w:t>restitutionary</w:t>
      </w:r>
      <w:proofErr w:type="spellEnd"/>
      <w:r w:rsidRPr="00692138">
        <w:rPr>
          <w:rFonts w:ascii="Times New Roman" w:hAnsi="Times New Roman" w:cs="Times New Roman"/>
          <w:sz w:val="24"/>
          <w:szCs w:val="24"/>
        </w:rPr>
        <w:t xml:space="preserve"> remedy, </w:t>
      </w:r>
      <w:r w:rsidR="00C230B5" w:rsidRPr="00C230B5">
        <w:rPr>
          <w:rFonts w:ascii="Times New Roman" w:hAnsi="Times New Roman" w:cs="Times New Roman"/>
          <w:i/>
          <w:iCs/>
          <w:sz w:val="24"/>
          <w:szCs w:val="24"/>
        </w:rPr>
        <w:t>i.e.</w:t>
      </w:r>
      <w:r w:rsidR="00C230B5">
        <w:rPr>
          <w:rFonts w:ascii="Times New Roman" w:hAnsi="Times New Roman" w:cs="Times New Roman"/>
          <w:sz w:val="24"/>
          <w:szCs w:val="24"/>
        </w:rPr>
        <w:t xml:space="preserve"> </w:t>
      </w:r>
      <w:r w:rsidRPr="00692138">
        <w:rPr>
          <w:rFonts w:ascii="Times New Roman" w:hAnsi="Times New Roman" w:cs="Times New Roman"/>
          <w:sz w:val="24"/>
          <w:szCs w:val="24"/>
        </w:rPr>
        <w:t xml:space="preserve">change of position and no </w:t>
      </w:r>
      <w:r w:rsidR="00CA74E0" w:rsidRPr="00692138">
        <w:rPr>
          <w:rFonts w:ascii="Times New Roman" w:hAnsi="Times New Roman" w:cs="Times New Roman"/>
          <w:sz w:val="24"/>
          <w:szCs w:val="24"/>
        </w:rPr>
        <w:t>knowing receipt of the mon</w:t>
      </w:r>
      <w:r w:rsidR="00C230B5">
        <w:rPr>
          <w:rFonts w:ascii="Times New Roman" w:hAnsi="Times New Roman" w:cs="Times New Roman"/>
          <w:sz w:val="24"/>
          <w:szCs w:val="24"/>
        </w:rPr>
        <w:t>ies</w:t>
      </w:r>
      <w:r w:rsidR="00CA74E0" w:rsidRPr="00692138">
        <w:rPr>
          <w:rFonts w:ascii="Times New Roman" w:hAnsi="Times New Roman" w:cs="Times New Roman"/>
          <w:sz w:val="24"/>
          <w:szCs w:val="24"/>
        </w:rPr>
        <w:t>.  She held that Mr Murray was</w:t>
      </w:r>
      <w:r w:rsidR="00C230B5">
        <w:rPr>
          <w:rFonts w:ascii="Times New Roman" w:hAnsi="Times New Roman" w:cs="Times New Roman"/>
          <w:sz w:val="24"/>
          <w:szCs w:val="24"/>
        </w:rPr>
        <w:t>,</w:t>
      </w:r>
      <w:r w:rsidR="00CA74E0" w:rsidRPr="00692138">
        <w:rPr>
          <w:rFonts w:ascii="Times New Roman" w:hAnsi="Times New Roman" w:cs="Times New Roman"/>
          <w:sz w:val="24"/>
          <w:szCs w:val="24"/>
        </w:rPr>
        <w:t xml:space="preserve"> in general, aware of the way in which the </w:t>
      </w:r>
      <w:r w:rsidR="00C230B5">
        <w:rPr>
          <w:rFonts w:ascii="Times New Roman" w:hAnsi="Times New Roman" w:cs="Times New Roman"/>
          <w:sz w:val="24"/>
          <w:szCs w:val="24"/>
        </w:rPr>
        <w:t xml:space="preserve">joint </w:t>
      </w:r>
      <w:r w:rsidR="00CA74E0" w:rsidRPr="00692138">
        <w:rPr>
          <w:rFonts w:ascii="Times New Roman" w:hAnsi="Times New Roman" w:cs="Times New Roman"/>
          <w:sz w:val="24"/>
          <w:szCs w:val="24"/>
        </w:rPr>
        <w:t xml:space="preserve">account was being </w:t>
      </w:r>
      <w:proofErr w:type="gramStart"/>
      <w:r w:rsidR="00CA74E0" w:rsidRPr="00692138">
        <w:rPr>
          <w:rFonts w:ascii="Times New Roman" w:hAnsi="Times New Roman" w:cs="Times New Roman"/>
          <w:sz w:val="24"/>
          <w:szCs w:val="24"/>
        </w:rPr>
        <w:t>used, and</w:t>
      </w:r>
      <w:proofErr w:type="gramEnd"/>
      <w:r w:rsidR="00CA74E0" w:rsidRPr="00692138">
        <w:rPr>
          <w:rFonts w:ascii="Times New Roman" w:hAnsi="Times New Roman" w:cs="Times New Roman"/>
          <w:sz w:val="24"/>
          <w:szCs w:val="24"/>
        </w:rPr>
        <w:t xml:space="preserve"> accepted that it was used for the benefit of the family in a general way.  There is no reference in the High Court judgment </w:t>
      </w:r>
      <w:r w:rsidR="00C230B5">
        <w:rPr>
          <w:rFonts w:ascii="Times New Roman" w:hAnsi="Times New Roman" w:cs="Times New Roman"/>
          <w:sz w:val="24"/>
          <w:szCs w:val="24"/>
        </w:rPr>
        <w:t>to</w:t>
      </w:r>
      <w:r w:rsidR="00CA74E0" w:rsidRPr="00692138">
        <w:rPr>
          <w:rFonts w:ascii="Times New Roman" w:hAnsi="Times New Roman" w:cs="Times New Roman"/>
          <w:sz w:val="24"/>
          <w:szCs w:val="24"/>
        </w:rPr>
        <w:t xml:space="preserve"> the conduct of the Bank being a possible disqualifying circumstance.  </w:t>
      </w:r>
    </w:p>
    <w:p w14:paraId="795EDE5B" w14:textId="4652EA31" w:rsidR="00B169A5" w:rsidRPr="00692138" w:rsidRDefault="0009571E" w:rsidP="00A35DFD">
      <w:pPr>
        <w:spacing w:line="480" w:lineRule="auto"/>
        <w:jc w:val="both"/>
        <w:rPr>
          <w:rFonts w:ascii="Times New Roman" w:hAnsi="Times New Roman" w:cs="Times New Roman"/>
          <w:b/>
          <w:bCs/>
        </w:rPr>
      </w:pPr>
      <w:r w:rsidRPr="00692138">
        <w:rPr>
          <w:rFonts w:ascii="Times New Roman" w:hAnsi="Times New Roman" w:cs="Times New Roman"/>
          <w:b/>
          <w:bCs/>
        </w:rPr>
        <w:t>4.</w:t>
      </w:r>
      <w:r w:rsidRPr="00692138">
        <w:rPr>
          <w:rFonts w:ascii="Times New Roman" w:hAnsi="Times New Roman" w:cs="Times New Roman"/>
          <w:b/>
          <w:bCs/>
        </w:rPr>
        <w:tab/>
      </w:r>
      <w:r w:rsidR="00B169A5" w:rsidRPr="00692138">
        <w:rPr>
          <w:rFonts w:ascii="Times New Roman" w:hAnsi="Times New Roman" w:cs="Times New Roman"/>
          <w:b/>
          <w:bCs/>
        </w:rPr>
        <w:t>The Court of Appeal</w:t>
      </w:r>
    </w:p>
    <w:p w14:paraId="5640E2A2" w14:textId="466E5009" w:rsidR="00B169A5" w:rsidRPr="00692138" w:rsidRDefault="00B169A5" w:rsidP="00A24F91">
      <w:pPr>
        <w:spacing w:line="480" w:lineRule="auto"/>
        <w:ind w:left="709" w:hanging="709"/>
        <w:jc w:val="both"/>
        <w:rPr>
          <w:rFonts w:ascii="Times New Roman" w:hAnsi="Times New Roman" w:cs="Times New Roman"/>
        </w:rPr>
      </w:pPr>
      <w:r w:rsidRPr="00692138">
        <w:rPr>
          <w:rFonts w:ascii="Times New Roman" w:hAnsi="Times New Roman" w:cs="Times New Roman"/>
          <w:b/>
          <w:bCs/>
        </w:rPr>
        <w:t>4.1</w:t>
      </w:r>
      <w:r w:rsidRPr="00692138">
        <w:rPr>
          <w:rFonts w:ascii="Times New Roman" w:hAnsi="Times New Roman" w:cs="Times New Roman"/>
        </w:rPr>
        <w:tab/>
      </w:r>
      <w:r w:rsidR="00A24F91" w:rsidRPr="00692138">
        <w:rPr>
          <w:rFonts w:ascii="Times New Roman" w:hAnsi="Times New Roman" w:cs="Times New Roman"/>
        </w:rPr>
        <w:t xml:space="preserve">The Court of Appeal dismissed the two separate appeals brought by Mr. Murray and Mrs. Murray.  The Court upheld the High Court’s analysis of the Bank’s claim for restitution.  </w:t>
      </w:r>
      <w:proofErr w:type="gramStart"/>
      <w:r w:rsidR="00A24F91" w:rsidRPr="00692138">
        <w:rPr>
          <w:rFonts w:ascii="Times New Roman" w:hAnsi="Times New Roman" w:cs="Times New Roman"/>
        </w:rPr>
        <w:t>In particular</w:t>
      </w:r>
      <w:r w:rsidR="00D30F4E">
        <w:rPr>
          <w:rFonts w:ascii="Times New Roman" w:hAnsi="Times New Roman" w:cs="Times New Roman"/>
        </w:rPr>
        <w:t>,</w:t>
      </w:r>
      <w:r w:rsidR="00A24F91" w:rsidRPr="00692138">
        <w:rPr>
          <w:rFonts w:ascii="Times New Roman" w:hAnsi="Times New Roman" w:cs="Times New Roman"/>
        </w:rPr>
        <w:t xml:space="preserve"> it</w:t>
      </w:r>
      <w:proofErr w:type="gramEnd"/>
      <w:r w:rsidR="00A24F91" w:rsidRPr="00692138">
        <w:rPr>
          <w:rFonts w:ascii="Times New Roman" w:hAnsi="Times New Roman" w:cs="Times New Roman"/>
        </w:rPr>
        <w:t xml:space="preserve"> did not accept that it was unfair to hold Mr. Murray accountable for the full amount of the loan</w:t>
      </w:r>
      <w:r w:rsidR="00C230B5">
        <w:rPr>
          <w:rFonts w:ascii="Times New Roman" w:hAnsi="Times New Roman" w:cs="Times New Roman"/>
        </w:rPr>
        <w:t>,</w:t>
      </w:r>
      <w:r w:rsidR="00A24F91" w:rsidRPr="00692138">
        <w:rPr>
          <w:rFonts w:ascii="Times New Roman" w:hAnsi="Times New Roman" w:cs="Times New Roman"/>
        </w:rPr>
        <w:t xml:space="preserve"> in the absence of a detailed analysis of the </w:t>
      </w:r>
      <w:r w:rsidR="00A24F91" w:rsidRPr="00692138">
        <w:rPr>
          <w:rFonts w:ascii="Times New Roman" w:hAnsi="Times New Roman" w:cs="Times New Roman"/>
        </w:rPr>
        <w:lastRenderedPageBreak/>
        <w:t xml:space="preserve">benefits he received.  Again, there was no reference in the Court of Appeal to the Bank’s conduct being a possible disqualifying circumstance.  </w:t>
      </w:r>
    </w:p>
    <w:p w14:paraId="1A4D2632" w14:textId="54674142" w:rsidR="00B335B3" w:rsidRPr="00692138" w:rsidRDefault="00A24F91" w:rsidP="00A24F91">
      <w:pPr>
        <w:spacing w:line="480" w:lineRule="auto"/>
        <w:ind w:left="567" w:hanging="567"/>
        <w:jc w:val="both"/>
        <w:rPr>
          <w:rFonts w:ascii="Times New Roman" w:hAnsi="Times New Roman" w:cs="Times New Roman"/>
          <w:b/>
          <w:bCs/>
        </w:rPr>
      </w:pPr>
      <w:r w:rsidRPr="00692138">
        <w:rPr>
          <w:rFonts w:ascii="Times New Roman" w:hAnsi="Times New Roman" w:cs="Times New Roman"/>
          <w:b/>
          <w:bCs/>
        </w:rPr>
        <w:t>5.</w:t>
      </w:r>
      <w:r w:rsidRPr="00692138">
        <w:rPr>
          <w:rFonts w:ascii="Times New Roman" w:hAnsi="Times New Roman" w:cs="Times New Roman"/>
          <w:b/>
          <w:bCs/>
        </w:rPr>
        <w:tab/>
      </w:r>
      <w:r w:rsidR="00B335B3" w:rsidRPr="00692138">
        <w:rPr>
          <w:rFonts w:ascii="Times New Roman" w:hAnsi="Times New Roman" w:cs="Times New Roman"/>
          <w:b/>
          <w:bCs/>
        </w:rPr>
        <w:t>The Supreme Court</w:t>
      </w:r>
    </w:p>
    <w:p w14:paraId="50F09C95" w14:textId="3B89C579" w:rsidR="00A24F91" w:rsidRPr="00692138" w:rsidRDefault="00A24F91" w:rsidP="00A24F91">
      <w:pPr>
        <w:spacing w:line="480" w:lineRule="auto"/>
        <w:ind w:left="567" w:hanging="567"/>
        <w:jc w:val="both"/>
        <w:rPr>
          <w:rFonts w:ascii="Times New Roman" w:hAnsi="Times New Roman" w:cs="Times New Roman"/>
        </w:rPr>
      </w:pPr>
      <w:r w:rsidRPr="00692138">
        <w:rPr>
          <w:rFonts w:ascii="Times New Roman" w:hAnsi="Times New Roman" w:cs="Times New Roman"/>
          <w:b/>
          <w:bCs/>
        </w:rPr>
        <w:t>5.1</w:t>
      </w:r>
      <w:r w:rsidRPr="00692138">
        <w:rPr>
          <w:rFonts w:ascii="Times New Roman" w:hAnsi="Times New Roman" w:cs="Times New Roman"/>
          <w:b/>
          <w:bCs/>
        </w:rPr>
        <w:tab/>
      </w:r>
      <w:r w:rsidRPr="00692138">
        <w:rPr>
          <w:rFonts w:ascii="Times New Roman" w:hAnsi="Times New Roman" w:cs="Times New Roman"/>
        </w:rPr>
        <w:t xml:space="preserve">The Supreme Court granted Mr. Murray leave to appeal </w:t>
      </w:r>
      <w:proofErr w:type="gramStart"/>
      <w:r w:rsidRPr="00692138">
        <w:rPr>
          <w:rFonts w:ascii="Times New Roman" w:hAnsi="Times New Roman" w:cs="Times New Roman"/>
        </w:rPr>
        <w:t>and in the determination</w:t>
      </w:r>
      <w:proofErr w:type="gramEnd"/>
      <w:r w:rsidRPr="00692138">
        <w:rPr>
          <w:rFonts w:ascii="Times New Roman" w:hAnsi="Times New Roman" w:cs="Times New Roman"/>
        </w:rPr>
        <w:t xml:space="preserve"> granting leave referred to the interaction between the Consumer Credit Act, 1995 and the principles governing claims for unjust enrichment as being a matter of general public importance which justified granting leave.  However, as sometimes happens on appeals to the Supreme Court, matters took a </w:t>
      </w:r>
      <w:proofErr w:type="gramStart"/>
      <w:r w:rsidRPr="00692138">
        <w:rPr>
          <w:rFonts w:ascii="Times New Roman" w:hAnsi="Times New Roman" w:cs="Times New Roman"/>
        </w:rPr>
        <w:t>twist</w:t>
      </w:r>
      <w:proofErr w:type="gramEnd"/>
      <w:r w:rsidRPr="00692138">
        <w:rPr>
          <w:rFonts w:ascii="Times New Roman" w:hAnsi="Times New Roman" w:cs="Times New Roman"/>
        </w:rPr>
        <w:t xml:space="preserve"> and a good deal of attention now began to focus on the confirmation document referred to earlier.  </w:t>
      </w:r>
    </w:p>
    <w:p w14:paraId="7DC1717F" w14:textId="0F2D2F38" w:rsidR="00A24F91" w:rsidRPr="00692138" w:rsidRDefault="00A24F91" w:rsidP="00A24F91">
      <w:pPr>
        <w:spacing w:line="480" w:lineRule="auto"/>
        <w:ind w:left="567" w:hanging="567"/>
        <w:jc w:val="both"/>
        <w:rPr>
          <w:rFonts w:ascii="Times New Roman" w:hAnsi="Times New Roman" w:cs="Times New Roman"/>
        </w:rPr>
      </w:pPr>
      <w:r w:rsidRPr="00692138">
        <w:rPr>
          <w:rFonts w:ascii="Times New Roman" w:hAnsi="Times New Roman" w:cs="Times New Roman"/>
          <w:b/>
          <w:bCs/>
        </w:rPr>
        <w:t>5.2</w:t>
      </w:r>
      <w:r w:rsidRPr="00692138">
        <w:rPr>
          <w:rFonts w:ascii="Times New Roman" w:hAnsi="Times New Roman" w:cs="Times New Roman"/>
          <w:b/>
          <w:bCs/>
        </w:rPr>
        <w:tab/>
      </w:r>
      <w:r w:rsidRPr="00692138">
        <w:rPr>
          <w:rFonts w:ascii="Times New Roman" w:hAnsi="Times New Roman" w:cs="Times New Roman"/>
        </w:rPr>
        <w:t>As desc</w:t>
      </w:r>
      <w:r w:rsidR="00311E20" w:rsidRPr="00692138">
        <w:rPr>
          <w:rFonts w:ascii="Times New Roman" w:hAnsi="Times New Roman" w:cs="Times New Roman"/>
        </w:rPr>
        <w:t xml:space="preserve">ribed earlier, the purpose of the confirmation document was to ensure that in the case of a loan application by a married couple involving a family home, each spouse/borrower would sign the document to confirm that they were in fact joint </w:t>
      </w:r>
      <w:proofErr w:type="gramStart"/>
      <w:r w:rsidR="00311E20" w:rsidRPr="00692138">
        <w:rPr>
          <w:rFonts w:ascii="Times New Roman" w:hAnsi="Times New Roman" w:cs="Times New Roman"/>
        </w:rPr>
        <w:t>borrowers, and</w:t>
      </w:r>
      <w:proofErr w:type="gramEnd"/>
      <w:r w:rsidR="00311E20" w:rsidRPr="00692138">
        <w:rPr>
          <w:rFonts w:ascii="Times New Roman" w:hAnsi="Times New Roman" w:cs="Times New Roman"/>
        </w:rPr>
        <w:t xml:space="preserve"> were joint owners of the property.  In the present case, the Bank Manager in Killybegs purported to witness Mr. Murray’s signature on the confirmation document on the </w:t>
      </w:r>
      <w:proofErr w:type="gramStart"/>
      <w:r w:rsidR="00311E20" w:rsidRPr="00692138">
        <w:rPr>
          <w:rFonts w:ascii="Times New Roman" w:hAnsi="Times New Roman" w:cs="Times New Roman"/>
        </w:rPr>
        <w:t>10</w:t>
      </w:r>
      <w:r w:rsidR="00311E20" w:rsidRPr="00692138">
        <w:rPr>
          <w:rFonts w:ascii="Times New Roman" w:hAnsi="Times New Roman" w:cs="Times New Roman"/>
          <w:vertAlign w:val="superscript"/>
        </w:rPr>
        <w:t>th</w:t>
      </w:r>
      <w:proofErr w:type="gramEnd"/>
      <w:r w:rsidR="00311E20" w:rsidRPr="00692138">
        <w:rPr>
          <w:rFonts w:ascii="Times New Roman" w:hAnsi="Times New Roman" w:cs="Times New Roman"/>
        </w:rPr>
        <w:t xml:space="preserve"> May, 2007.  However, the clear logic of the High Court findings, including the finding that Mr. Murray did not sign the loan documents, was that the Bank Manager did not in fact witness Mr. Murray’s signature of the confirmation document, and could not have done so.  </w:t>
      </w:r>
    </w:p>
    <w:p w14:paraId="6A4E9C15" w14:textId="43D329B8" w:rsidR="00285721" w:rsidRDefault="00311E20" w:rsidP="00311E20">
      <w:pPr>
        <w:pStyle w:val="ListParagraph"/>
        <w:numPr>
          <w:ilvl w:val="1"/>
          <w:numId w:val="12"/>
        </w:numPr>
        <w:spacing w:line="480" w:lineRule="auto"/>
        <w:ind w:left="567" w:hanging="567"/>
        <w:jc w:val="both"/>
        <w:rPr>
          <w:rFonts w:ascii="Times New Roman" w:hAnsi="Times New Roman" w:cs="Times New Roman"/>
          <w:sz w:val="24"/>
          <w:szCs w:val="24"/>
        </w:rPr>
      </w:pPr>
      <w:r w:rsidRPr="00692138">
        <w:rPr>
          <w:rFonts w:ascii="Times New Roman" w:hAnsi="Times New Roman" w:cs="Times New Roman"/>
          <w:sz w:val="24"/>
          <w:szCs w:val="24"/>
        </w:rPr>
        <w:t xml:space="preserve">In her judgment for the 3-2 majority, </w:t>
      </w:r>
      <w:r w:rsidR="00285721" w:rsidRPr="00692138">
        <w:rPr>
          <w:rFonts w:ascii="Times New Roman" w:hAnsi="Times New Roman" w:cs="Times New Roman"/>
          <w:sz w:val="24"/>
          <w:szCs w:val="24"/>
        </w:rPr>
        <w:t>Dunne J. considered whether the Bank’s failure to establish that the appellant had signed the ‘Confirmation of Marital Status’ document in the presen</w:t>
      </w:r>
      <w:r w:rsidR="00677868" w:rsidRPr="00692138">
        <w:rPr>
          <w:rFonts w:ascii="Times New Roman" w:hAnsi="Times New Roman" w:cs="Times New Roman"/>
          <w:sz w:val="24"/>
          <w:szCs w:val="24"/>
        </w:rPr>
        <w:t>ce of its Branch Manager precluded its entitlement to recover in restitution on the grounds of public policy.</w:t>
      </w:r>
      <w:r w:rsidR="00B20CEC">
        <w:rPr>
          <w:rFonts w:ascii="Times New Roman" w:hAnsi="Times New Roman" w:cs="Times New Roman"/>
          <w:sz w:val="24"/>
          <w:szCs w:val="24"/>
        </w:rPr>
        <w:t xml:space="preserve">  She was not persuaded that the failure of the Bank in this case </w:t>
      </w:r>
      <w:r w:rsidR="00752EE0">
        <w:rPr>
          <w:rFonts w:ascii="Times New Roman" w:hAnsi="Times New Roman" w:cs="Times New Roman"/>
          <w:sz w:val="24"/>
          <w:szCs w:val="24"/>
        </w:rPr>
        <w:t>was</w:t>
      </w:r>
      <w:r w:rsidR="00B20CEC">
        <w:rPr>
          <w:rFonts w:ascii="Times New Roman" w:hAnsi="Times New Roman" w:cs="Times New Roman"/>
          <w:sz w:val="24"/>
          <w:szCs w:val="24"/>
        </w:rPr>
        <w:t xml:space="preserve"> the result of a systematic practice on its part, or that its behaviour in this regard was unconscionable as contended for by Mr. Murray.  There was a process of the Bank, </w:t>
      </w:r>
      <w:r w:rsidR="00B20CEC">
        <w:rPr>
          <w:rFonts w:ascii="Times New Roman" w:hAnsi="Times New Roman" w:cs="Times New Roman"/>
          <w:sz w:val="24"/>
          <w:szCs w:val="24"/>
        </w:rPr>
        <w:lastRenderedPageBreak/>
        <w:t>which, if it had been properly adhered to, could have avoided the situation which transpired.  To that extent, there was a degree of fault on the part of the Bank which led to its mistake in providing the sum of €200,000.00 to the Murrays.  However, this situation did not arise out of a systemic practice on its part.  On the contrary, what seemed to Dunn</w:t>
      </w:r>
      <w:r w:rsidR="00272F5C">
        <w:rPr>
          <w:rFonts w:ascii="Times New Roman" w:hAnsi="Times New Roman" w:cs="Times New Roman"/>
          <w:sz w:val="24"/>
          <w:szCs w:val="24"/>
        </w:rPr>
        <w:t>e</w:t>
      </w:r>
      <w:r w:rsidR="00B20CEC">
        <w:rPr>
          <w:rFonts w:ascii="Times New Roman" w:hAnsi="Times New Roman" w:cs="Times New Roman"/>
          <w:sz w:val="24"/>
          <w:szCs w:val="24"/>
        </w:rPr>
        <w:t xml:space="preserve"> J. to have occurred was a departure from the normal practice of the Branch Manager of the Bank.  That was an error on his part and undoubtedly facilitated the deception of the Bank by Mrs. Murray, which resulted in the provision of funds to her and in respect of which Mr. Murray shared the benefit.  Dunne J. found it difficult to characterise the actions of the Bank through its Branch Manager as unconscionable on the facts of this case.  </w:t>
      </w:r>
      <w:r w:rsidR="001B644C" w:rsidRPr="00692138">
        <w:rPr>
          <w:rFonts w:ascii="Times New Roman" w:hAnsi="Times New Roman" w:cs="Times New Roman"/>
          <w:sz w:val="24"/>
          <w:szCs w:val="24"/>
        </w:rPr>
        <w:t xml:space="preserve"> </w:t>
      </w:r>
    </w:p>
    <w:p w14:paraId="56ECEE09" w14:textId="01C22CBB" w:rsidR="00752EE0" w:rsidRDefault="00752EE0" w:rsidP="00311E20">
      <w:pPr>
        <w:pStyle w:val="ListParagraph"/>
        <w:numPr>
          <w:ilvl w:val="1"/>
          <w:numId w:val="12"/>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Dunne J. accepted that, on the facts of this case, there was no doubt that had the Bank Manager not </w:t>
      </w:r>
      <w:r w:rsidR="00272F5C">
        <w:rPr>
          <w:rFonts w:ascii="Times New Roman" w:hAnsi="Times New Roman" w:cs="Times New Roman"/>
          <w:sz w:val="24"/>
          <w:szCs w:val="24"/>
        </w:rPr>
        <w:t xml:space="preserve">purported to witness </w:t>
      </w:r>
      <w:r>
        <w:rPr>
          <w:rFonts w:ascii="Times New Roman" w:hAnsi="Times New Roman" w:cs="Times New Roman"/>
          <w:sz w:val="24"/>
          <w:szCs w:val="24"/>
        </w:rPr>
        <w:t xml:space="preserve">the signature of Mr. Murray on the confirmation document in his absence, things might have turned out differently.  But equally, she felt there was no doubt that the Bank had been deceived into providing the original loan by means of the witnessing of Mr. Murray’s signature by persons on whom the Bank were entitled to rely, such as a solicitor and a Commissioner for Oaths.  While it was negligent of the Bank Manager to have done this on behalf of the Bank, Dunne J. was not surprised by this in circumstances where previous documents had been authenticated by appropriate and apparently responsible people and where, on this occasion, the documents were presented by Mrs. Murray, a person the Bank Manager had no reason to distrust and where necessary queries relating to the loan were dealt with by Mr. Murray’s accountant.  For her part, Dunne J. was of the view that the Bank was not to be denied restitution for mistake by reason of negligence in the completion of the documentation for the further loan. </w:t>
      </w:r>
    </w:p>
    <w:p w14:paraId="0DFFFC41" w14:textId="445A70BB" w:rsidR="00752EE0" w:rsidRPr="00692138" w:rsidRDefault="00752EE0" w:rsidP="00311E20">
      <w:pPr>
        <w:pStyle w:val="ListParagraph"/>
        <w:numPr>
          <w:ilvl w:val="1"/>
          <w:numId w:val="12"/>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In addition, Dunne J. did not accept that the Bank Manager had made a “false representation” as stated in the joint dissenting judgment delivered by Woulfe and Hogan JJ., </w:t>
      </w:r>
      <w:r w:rsidR="00272F5C">
        <w:rPr>
          <w:rFonts w:ascii="Times New Roman" w:hAnsi="Times New Roman" w:cs="Times New Roman"/>
          <w:sz w:val="24"/>
          <w:szCs w:val="24"/>
        </w:rPr>
        <w:t xml:space="preserve">in </w:t>
      </w:r>
      <w:r>
        <w:rPr>
          <w:rFonts w:ascii="Times New Roman" w:hAnsi="Times New Roman" w:cs="Times New Roman"/>
          <w:sz w:val="24"/>
          <w:szCs w:val="24"/>
        </w:rPr>
        <w:t xml:space="preserve">purporting to witness the signature of Mr. Murray on the confirmation document.  In her view a false representation was designed to induce someone to act to their detriment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the false representation that has been made, and in her view that had not occurred here.  </w:t>
      </w:r>
    </w:p>
    <w:p w14:paraId="348F8E45" w14:textId="363DDCCB" w:rsidR="0074010C" w:rsidRPr="00692138" w:rsidRDefault="0074010C" w:rsidP="007F1F85">
      <w:pPr>
        <w:spacing w:line="259" w:lineRule="auto"/>
        <w:ind w:left="567"/>
        <w:rPr>
          <w:rFonts w:ascii="Times New Roman" w:hAnsi="Times New Roman" w:cs="Times New Roman"/>
          <w:i/>
          <w:iCs/>
        </w:rPr>
      </w:pPr>
    </w:p>
    <w:p w14:paraId="2A9B1480" w14:textId="5CEF7B0D" w:rsidR="00F42254" w:rsidRPr="00692138" w:rsidRDefault="00F42254" w:rsidP="007F1F85">
      <w:pPr>
        <w:spacing w:line="480" w:lineRule="auto"/>
        <w:ind w:left="567"/>
        <w:jc w:val="both"/>
        <w:rPr>
          <w:rFonts w:ascii="Times New Roman" w:hAnsi="Times New Roman" w:cs="Times New Roman"/>
          <w:i/>
          <w:iCs/>
        </w:rPr>
      </w:pPr>
      <w:r w:rsidRPr="00692138">
        <w:rPr>
          <w:rFonts w:ascii="Times New Roman" w:hAnsi="Times New Roman" w:cs="Times New Roman"/>
          <w:i/>
          <w:iCs/>
        </w:rPr>
        <w:t>Joint Judgment of Mr. Justice Woulfe and Mr. Justice Hogan</w:t>
      </w:r>
    </w:p>
    <w:p w14:paraId="724041B8" w14:textId="00E67736" w:rsidR="00C24FE6" w:rsidRPr="00692138" w:rsidRDefault="00250082" w:rsidP="00311E20">
      <w:pPr>
        <w:pStyle w:val="ListParagraph"/>
        <w:numPr>
          <w:ilvl w:val="1"/>
          <w:numId w:val="12"/>
        </w:numPr>
        <w:spacing w:line="480" w:lineRule="auto"/>
        <w:ind w:left="709" w:hanging="709"/>
        <w:jc w:val="both"/>
        <w:rPr>
          <w:rFonts w:ascii="Times New Roman" w:hAnsi="Times New Roman" w:cs="Times New Roman"/>
          <w:b/>
          <w:bCs/>
          <w:sz w:val="24"/>
          <w:szCs w:val="24"/>
        </w:rPr>
      </w:pPr>
      <w:r w:rsidRPr="00692138">
        <w:rPr>
          <w:rFonts w:ascii="Times New Roman" w:hAnsi="Times New Roman" w:cs="Times New Roman"/>
          <w:sz w:val="24"/>
          <w:szCs w:val="24"/>
        </w:rPr>
        <w:t>Woulfe and Hogan JJ. delivered a joint dissent</w:t>
      </w:r>
      <w:r w:rsidR="00602731" w:rsidRPr="00692138">
        <w:rPr>
          <w:rFonts w:ascii="Times New Roman" w:hAnsi="Times New Roman" w:cs="Times New Roman"/>
          <w:sz w:val="24"/>
          <w:szCs w:val="24"/>
        </w:rPr>
        <w:t xml:space="preserve">ing judgment which disagreed with key aspects of the reasoning of </w:t>
      </w:r>
      <w:proofErr w:type="gramStart"/>
      <w:r w:rsidR="00602731" w:rsidRPr="00692138">
        <w:rPr>
          <w:rFonts w:ascii="Times New Roman" w:hAnsi="Times New Roman" w:cs="Times New Roman"/>
          <w:sz w:val="24"/>
          <w:szCs w:val="24"/>
        </w:rPr>
        <w:t>the majority of</w:t>
      </w:r>
      <w:proofErr w:type="gramEnd"/>
      <w:r w:rsidR="00602731" w:rsidRPr="00692138">
        <w:rPr>
          <w:rFonts w:ascii="Times New Roman" w:hAnsi="Times New Roman" w:cs="Times New Roman"/>
          <w:sz w:val="24"/>
          <w:szCs w:val="24"/>
        </w:rPr>
        <w:t xml:space="preserve"> the Court</w:t>
      </w:r>
      <w:r w:rsidR="00C24FE6" w:rsidRPr="00692138">
        <w:rPr>
          <w:rFonts w:ascii="Times New Roman" w:hAnsi="Times New Roman" w:cs="Times New Roman"/>
          <w:sz w:val="24"/>
          <w:szCs w:val="24"/>
        </w:rPr>
        <w:t xml:space="preserve"> and the proposed disposition of the appeal. T</w:t>
      </w:r>
      <w:r w:rsidR="00B63965" w:rsidRPr="00692138">
        <w:rPr>
          <w:rFonts w:ascii="Times New Roman" w:hAnsi="Times New Roman" w:cs="Times New Roman"/>
          <w:sz w:val="24"/>
          <w:szCs w:val="24"/>
        </w:rPr>
        <w:t>hey held that</w:t>
      </w:r>
      <w:r w:rsidR="00311E20" w:rsidRPr="00692138">
        <w:rPr>
          <w:rFonts w:ascii="Times New Roman" w:hAnsi="Times New Roman" w:cs="Times New Roman"/>
          <w:sz w:val="24"/>
          <w:szCs w:val="24"/>
        </w:rPr>
        <w:t xml:space="preserve">, unfortunately, </w:t>
      </w:r>
      <w:r w:rsidR="00C24FE6" w:rsidRPr="00692138">
        <w:rPr>
          <w:rFonts w:ascii="Times New Roman" w:hAnsi="Times New Roman" w:cs="Times New Roman"/>
          <w:sz w:val="24"/>
          <w:szCs w:val="24"/>
        </w:rPr>
        <w:t xml:space="preserve">the inexorable logic of the High Court findings </w:t>
      </w:r>
      <w:r w:rsidR="00B63965" w:rsidRPr="00692138">
        <w:rPr>
          <w:rFonts w:ascii="Times New Roman" w:hAnsi="Times New Roman" w:cs="Times New Roman"/>
          <w:sz w:val="24"/>
          <w:szCs w:val="24"/>
        </w:rPr>
        <w:t>was</w:t>
      </w:r>
      <w:r w:rsidR="00C24FE6" w:rsidRPr="00692138">
        <w:rPr>
          <w:rFonts w:ascii="Times New Roman" w:hAnsi="Times New Roman" w:cs="Times New Roman"/>
          <w:sz w:val="24"/>
          <w:szCs w:val="24"/>
        </w:rPr>
        <w:t xml:space="preserve"> that the Bank Manager did not in fact witness Mr. Murray’s signature of the ‘Confirmation of Marital Status’ document. </w:t>
      </w:r>
      <w:r w:rsidR="00B63965" w:rsidRPr="00692138">
        <w:rPr>
          <w:rFonts w:ascii="Times New Roman" w:hAnsi="Times New Roman" w:cs="Times New Roman"/>
          <w:sz w:val="24"/>
          <w:szCs w:val="24"/>
        </w:rPr>
        <w:t xml:space="preserve">It </w:t>
      </w:r>
      <w:r w:rsidR="00311E20" w:rsidRPr="00692138">
        <w:rPr>
          <w:rFonts w:ascii="Times New Roman" w:hAnsi="Times New Roman" w:cs="Times New Roman"/>
          <w:sz w:val="24"/>
          <w:szCs w:val="24"/>
        </w:rPr>
        <w:t>equally followed</w:t>
      </w:r>
      <w:r w:rsidR="00B63965" w:rsidRPr="00692138">
        <w:rPr>
          <w:rFonts w:ascii="Times New Roman" w:hAnsi="Times New Roman" w:cs="Times New Roman"/>
          <w:sz w:val="24"/>
          <w:szCs w:val="24"/>
        </w:rPr>
        <w:t xml:space="preserve"> </w:t>
      </w:r>
      <w:r w:rsidR="00C24FE6" w:rsidRPr="00692138">
        <w:rPr>
          <w:rFonts w:ascii="Times New Roman" w:hAnsi="Times New Roman" w:cs="Times New Roman"/>
          <w:sz w:val="24"/>
          <w:szCs w:val="24"/>
        </w:rPr>
        <w:t xml:space="preserve">that the Bank Manager made a false representation of fact by representing that he had witnessed Mr. Murray signing the confirmation document, and that he </w:t>
      </w:r>
      <w:proofErr w:type="gramStart"/>
      <w:r w:rsidR="00C24FE6" w:rsidRPr="00692138">
        <w:rPr>
          <w:rFonts w:ascii="Times New Roman" w:hAnsi="Times New Roman" w:cs="Times New Roman"/>
          <w:sz w:val="24"/>
          <w:szCs w:val="24"/>
        </w:rPr>
        <w:t>knew at all times</w:t>
      </w:r>
      <w:proofErr w:type="gramEnd"/>
      <w:r w:rsidR="00C24FE6" w:rsidRPr="00692138">
        <w:rPr>
          <w:rFonts w:ascii="Times New Roman" w:hAnsi="Times New Roman" w:cs="Times New Roman"/>
          <w:sz w:val="24"/>
          <w:szCs w:val="24"/>
        </w:rPr>
        <w:t xml:space="preserve"> that this representation was false.</w:t>
      </w:r>
    </w:p>
    <w:p w14:paraId="26262256" w14:textId="5C885AB9" w:rsidR="00C24FE6" w:rsidRPr="00692138" w:rsidRDefault="00BB4DB5" w:rsidP="00311E20">
      <w:pPr>
        <w:pStyle w:val="ListParagraph"/>
        <w:numPr>
          <w:ilvl w:val="1"/>
          <w:numId w:val="12"/>
        </w:numPr>
        <w:spacing w:line="480" w:lineRule="auto"/>
        <w:ind w:left="709" w:hanging="709"/>
        <w:jc w:val="both"/>
        <w:rPr>
          <w:rFonts w:ascii="Times New Roman" w:hAnsi="Times New Roman" w:cs="Times New Roman"/>
          <w:sz w:val="24"/>
          <w:szCs w:val="24"/>
        </w:rPr>
      </w:pPr>
      <w:r w:rsidRPr="00692138">
        <w:rPr>
          <w:rFonts w:ascii="Times New Roman" w:hAnsi="Times New Roman" w:cs="Times New Roman"/>
          <w:sz w:val="24"/>
          <w:szCs w:val="24"/>
        </w:rPr>
        <w:t>Woulfe and Hogan JJ. deemed it inevitable</w:t>
      </w:r>
      <w:r w:rsidR="00C24FE6" w:rsidRPr="00692138">
        <w:rPr>
          <w:rFonts w:ascii="Times New Roman" w:hAnsi="Times New Roman" w:cs="Times New Roman"/>
          <w:sz w:val="24"/>
          <w:szCs w:val="24"/>
        </w:rPr>
        <w:t xml:space="preserve"> that the confirmation document was relied upon by the Bank in granting the mortgage in question. In this way, </w:t>
      </w:r>
      <w:r w:rsidRPr="00692138">
        <w:rPr>
          <w:rFonts w:ascii="Times New Roman" w:hAnsi="Times New Roman" w:cs="Times New Roman"/>
          <w:sz w:val="24"/>
          <w:szCs w:val="24"/>
        </w:rPr>
        <w:t xml:space="preserve">it was held, </w:t>
      </w:r>
      <w:r w:rsidR="00C24FE6" w:rsidRPr="00692138">
        <w:rPr>
          <w:rFonts w:ascii="Times New Roman" w:hAnsi="Times New Roman" w:cs="Times New Roman"/>
          <w:sz w:val="24"/>
          <w:szCs w:val="24"/>
        </w:rPr>
        <w:t xml:space="preserve">the false representation was clearly causative of the mortgage being granted. One might </w:t>
      </w:r>
      <w:r w:rsidRPr="00692138">
        <w:rPr>
          <w:rFonts w:ascii="Times New Roman" w:hAnsi="Times New Roman" w:cs="Times New Roman"/>
          <w:sz w:val="24"/>
          <w:szCs w:val="24"/>
        </w:rPr>
        <w:t>have said</w:t>
      </w:r>
      <w:r w:rsidR="00C24FE6" w:rsidRPr="00692138">
        <w:rPr>
          <w:rFonts w:ascii="Times New Roman" w:hAnsi="Times New Roman" w:cs="Times New Roman"/>
          <w:sz w:val="24"/>
          <w:szCs w:val="24"/>
        </w:rPr>
        <w:t xml:space="preserve"> in partial mitigation of the Bank Manager that he was well-motivated in making this false representation, and that he did so in order to facilitate the Murrays, but </w:t>
      </w:r>
      <w:r w:rsidR="00311E20" w:rsidRPr="00692138">
        <w:rPr>
          <w:rFonts w:ascii="Times New Roman" w:hAnsi="Times New Roman" w:cs="Times New Roman"/>
          <w:sz w:val="24"/>
          <w:szCs w:val="24"/>
        </w:rPr>
        <w:t xml:space="preserve">in their view </w:t>
      </w:r>
      <w:r w:rsidR="00C24FE6" w:rsidRPr="00692138">
        <w:rPr>
          <w:rFonts w:ascii="Times New Roman" w:hAnsi="Times New Roman" w:cs="Times New Roman"/>
          <w:sz w:val="24"/>
          <w:szCs w:val="24"/>
        </w:rPr>
        <w:t xml:space="preserve">this </w:t>
      </w:r>
      <w:r w:rsidR="00175A27" w:rsidRPr="00692138">
        <w:rPr>
          <w:rFonts w:ascii="Times New Roman" w:hAnsi="Times New Roman" w:cs="Times New Roman"/>
          <w:sz w:val="24"/>
          <w:szCs w:val="24"/>
        </w:rPr>
        <w:t>could</w:t>
      </w:r>
      <w:r w:rsidR="00C24FE6" w:rsidRPr="00692138">
        <w:rPr>
          <w:rFonts w:ascii="Times New Roman" w:hAnsi="Times New Roman" w:cs="Times New Roman"/>
          <w:sz w:val="24"/>
          <w:szCs w:val="24"/>
        </w:rPr>
        <w:t xml:space="preserve"> amount to very limited mitigation only</w:t>
      </w:r>
      <w:r w:rsidR="00311E20" w:rsidRPr="00692138">
        <w:rPr>
          <w:rFonts w:ascii="Times New Roman" w:hAnsi="Times New Roman" w:cs="Times New Roman"/>
          <w:sz w:val="24"/>
          <w:szCs w:val="24"/>
        </w:rPr>
        <w:t xml:space="preserve">; the plain fact of the matter was that the Bank thereby became a party to the overall matrix of wrongful conduct which led to the 2007 loan being advanced. </w:t>
      </w:r>
      <w:r w:rsidR="00C24FE6" w:rsidRPr="00692138">
        <w:rPr>
          <w:rFonts w:ascii="Times New Roman" w:hAnsi="Times New Roman" w:cs="Times New Roman"/>
          <w:sz w:val="24"/>
          <w:szCs w:val="24"/>
        </w:rPr>
        <w:t xml:space="preserve"> </w:t>
      </w:r>
    </w:p>
    <w:p w14:paraId="200005B3" w14:textId="0FAB176B" w:rsidR="00C24FE6" w:rsidRPr="00692138" w:rsidRDefault="00C24FE6" w:rsidP="00311E20">
      <w:pPr>
        <w:pStyle w:val="ListParagraph"/>
        <w:numPr>
          <w:ilvl w:val="1"/>
          <w:numId w:val="12"/>
        </w:numPr>
        <w:spacing w:line="480" w:lineRule="auto"/>
        <w:ind w:left="709" w:hanging="709"/>
        <w:jc w:val="both"/>
        <w:rPr>
          <w:rFonts w:ascii="Times New Roman" w:hAnsi="Times New Roman" w:cs="Times New Roman"/>
          <w:sz w:val="24"/>
          <w:szCs w:val="24"/>
        </w:rPr>
      </w:pPr>
      <w:r w:rsidRPr="00692138">
        <w:rPr>
          <w:rFonts w:ascii="Times New Roman" w:hAnsi="Times New Roman" w:cs="Times New Roman"/>
          <w:sz w:val="24"/>
          <w:szCs w:val="24"/>
        </w:rPr>
        <w:lastRenderedPageBreak/>
        <w:t>Woulfe and Hogan JJ. h</w:t>
      </w:r>
      <w:r w:rsidR="00175A27" w:rsidRPr="00692138">
        <w:rPr>
          <w:rFonts w:ascii="Times New Roman" w:hAnsi="Times New Roman" w:cs="Times New Roman"/>
          <w:sz w:val="24"/>
          <w:szCs w:val="24"/>
        </w:rPr>
        <w:t>eld</w:t>
      </w:r>
      <w:r w:rsidRPr="00692138">
        <w:rPr>
          <w:rFonts w:ascii="Times New Roman" w:hAnsi="Times New Roman" w:cs="Times New Roman"/>
          <w:sz w:val="24"/>
          <w:szCs w:val="24"/>
        </w:rPr>
        <w:t xml:space="preserve"> that there </w:t>
      </w:r>
      <w:r w:rsidR="00175A27" w:rsidRPr="00692138">
        <w:rPr>
          <w:rFonts w:ascii="Times New Roman" w:hAnsi="Times New Roman" w:cs="Times New Roman"/>
          <w:sz w:val="24"/>
          <w:szCs w:val="24"/>
        </w:rPr>
        <w:t>were</w:t>
      </w:r>
      <w:r w:rsidRPr="00692138">
        <w:rPr>
          <w:rFonts w:ascii="Times New Roman" w:hAnsi="Times New Roman" w:cs="Times New Roman"/>
          <w:sz w:val="24"/>
          <w:szCs w:val="24"/>
        </w:rPr>
        <w:t xml:space="preserve"> </w:t>
      </w:r>
      <w:proofErr w:type="gramStart"/>
      <w:r w:rsidR="00311E20" w:rsidRPr="00692138">
        <w:rPr>
          <w:rFonts w:ascii="Times New Roman" w:hAnsi="Times New Roman" w:cs="Times New Roman"/>
          <w:sz w:val="24"/>
          <w:szCs w:val="24"/>
        </w:rPr>
        <w:t>a number of</w:t>
      </w:r>
      <w:proofErr w:type="gramEnd"/>
      <w:r w:rsidR="00311E20" w:rsidRPr="00692138">
        <w:rPr>
          <w:rFonts w:ascii="Times New Roman" w:hAnsi="Times New Roman" w:cs="Times New Roman"/>
          <w:sz w:val="24"/>
          <w:szCs w:val="24"/>
        </w:rPr>
        <w:t xml:space="preserve"> </w:t>
      </w:r>
      <w:r w:rsidRPr="00692138">
        <w:rPr>
          <w:rFonts w:ascii="Times New Roman" w:hAnsi="Times New Roman" w:cs="Times New Roman"/>
          <w:sz w:val="24"/>
          <w:szCs w:val="24"/>
        </w:rPr>
        <w:t>fundamental objections to the Bank’s claim for restitution</w:t>
      </w:r>
      <w:r w:rsidR="00311E20" w:rsidRPr="00692138">
        <w:rPr>
          <w:rFonts w:ascii="Times New Roman" w:hAnsi="Times New Roman" w:cs="Times New Roman"/>
          <w:sz w:val="24"/>
          <w:szCs w:val="24"/>
        </w:rPr>
        <w:t>, including two which are relevant to the issue under discussion</w:t>
      </w:r>
      <w:r w:rsidRPr="00692138">
        <w:rPr>
          <w:rFonts w:ascii="Times New Roman" w:hAnsi="Times New Roman" w:cs="Times New Roman"/>
          <w:sz w:val="24"/>
          <w:szCs w:val="24"/>
        </w:rPr>
        <w:t>. First, the Bank itself became a party to the overall wrongful conduct, which was originally instigated by Mrs. Murray herself, by falsely attesting Mr. Murray’s signature. They h</w:t>
      </w:r>
      <w:r w:rsidR="00F42254" w:rsidRPr="00692138">
        <w:rPr>
          <w:rFonts w:ascii="Times New Roman" w:hAnsi="Times New Roman" w:cs="Times New Roman"/>
          <w:sz w:val="24"/>
          <w:szCs w:val="24"/>
        </w:rPr>
        <w:t>eld</w:t>
      </w:r>
      <w:r w:rsidRPr="00692138">
        <w:rPr>
          <w:rFonts w:ascii="Times New Roman" w:hAnsi="Times New Roman" w:cs="Times New Roman"/>
          <w:sz w:val="24"/>
          <w:szCs w:val="24"/>
        </w:rPr>
        <w:t xml:space="preserve"> that the Bank’s own conduct </w:t>
      </w:r>
      <w:r w:rsidR="00DD12B8" w:rsidRPr="00692138">
        <w:rPr>
          <w:rFonts w:ascii="Times New Roman" w:hAnsi="Times New Roman" w:cs="Times New Roman"/>
          <w:sz w:val="24"/>
          <w:szCs w:val="24"/>
        </w:rPr>
        <w:t>was</w:t>
      </w:r>
      <w:r w:rsidRPr="00692138">
        <w:rPr>
          <w:rFonts w:ascii="Times New Roman" w:hAnsi="Times New Roman" w:cs="Times New Roman"/>
          <w:sz w:val="24"/>
          <w:szCs w:val="24"/>
        </w:rPr>
        <w:t xml:space="preserve"> sufficient to disqualify it from </w:t>
      </w:r>
      <w:r w:rsidR="00DD12B8" w:rsidRPr="00692138">
        <w:rPr>
          <w:rFonts w:ascii="Times New Roman" w:hAnsi="Times New Roman" w:cs="Times New Roman"/>
          <w:sz w:val="24"/>
          <w:szCs w:val="24"/>
        </w:rPr>
        <w:t xml:space="preserve">recovery. </w:t>
      </w:r>
      <w:r w:rsidRPr="00692138">
        <w:rPr>
          <w:rFonts w:ascii="Times New Roman" w:hAnsi="Times New Roman" w:cs="Times New Roman"/>
          <w:sz w:val="24"/>
          <w:szCs w:val="24"/>
        </w:rPr>
        <w:t>Second, they h</w:t>
      </w:r>
      <w:r w:rsidR="00DD12B8" w:rsidRPr="00692138">
        <w:rPr>
          <w:rFonts w:ascii="Times New Roman" w:hAnsi="Times New Roman" w:cs="Times New Roman"/>
          <w:sz w:val="24"/>
          <w:szCs w:val="24"/>
        </w:rPr>
        <w:t>el</w:t>
      </w:r>
      <w:r w:rsidRPr="00692138">
        <w:rPr>
          <w:rFonts w:ascii="Times New Roman" w:hAnsi="Times New Roman" w:cs="Times New Roman"/>
          <w:sz w:val="24"/>
          <w:szCs w:val="24"/>
        </w:rPr>
        <w:t xml:space="preserve">d that an order for restitution in these circumstances would wholly undermine </w:t>
      </w:r>
      <w:r w:rsidR="00311E20" w:rsidRPr="00692138">
        <w:rPr>
          <w:rFonts w:ascii="Times New Roman" w:hAnsi="Times New Roman" w:cs="Times New Roman"/>
          <w:sz w:val="24"/>
          <w:szCs w:val="24"/>
        </w:rPr>
        <w:t>a</w:t>
      </w:r>
      <w:r w:rsidRPr="00692138">
        <w:rPr>
          <w:rFonts w:ascii="Times New Roman" w:hAnsi="Times New Roman" w:cs="Times New Roman"/>
          <w:sz w:val="24"/>
          <w:szCs w:val="24"/>
        </w:rPr>
        <w:t xml:space="preserve"> key objective of the </w:t>
      </w:r>
      <w:r w:rsidR="00272F5C">
        <w:rPr>
          <w:rFonts w:ascii="Times New Roman" w:hAnsi="Times New Roman" w:cs="Times New Roman"/>
          <w:sz w:val="24"/>
          <w:szCs w:val="24"/>
        </w:rPr>
        <w:t xml:space="preserve">Consumer Credit Act </w:t>
      </w:r>
      <w:r w:rsidRPr="00692138">
        <w:rPr>
          <w:rFonts w:ascii="Times New Roman" w:hAnsi="Times New Roman" w:cs="Times New Roman"/>
          <w:sz w:val="24"/>
          <w:szCs w:val="24"/>
        </w:rPr>
        <w:t>1995, namely, to safeguard the interests of the consumer. They f</w:t>
      </w:r>
      <w:r w:rsidR="00DD12B8" w:rsidRPr="00692138">
        <w:rPr>
          <w:rFonts w:ascii="Times New Roman" w:hAnsi="Times New Roman" w:cs="Times New Roman"/>
          <w:sz w:val="24"/>
          <w:szCs w:val="24"/>
        </w:rPr>
        <w:t>ound</w:t>
      </w:r>
      <w:r w:rsidRPr="00692138">
        <w:rPr>
          <w:rFonts w:ascii="Times New Roman" w:hAnsi="Times New Roman" w:cs="Times New Roman"/>
          <w:sz w:val="24"/>
          <w:szCs w:val="24"/>
        </w:rPr>
        <w:t xml:space="preserve"> that the Bank’s own wrongful act contributed to an outcome which was wholly at odds with the public policy as reflected in the 1995 Act, and in the </w:t>
      </w:r>
      <w:proofErr w:type="gramStart"/>
      <w:r w:rsidRPr="00692138">
        <w:rPr>
          <w:rFonts w:ascii="Times New Roman" w:hAnsi="Times New Roman" w:cs="Times New Roman"/>
          <w:sz w:val="24"/>
          <w:szCs w:val="24"/>
        </w:rPr>
        <w:t>circumstances</w:t>
      </w:r>
      <w:proofErr w:type="gramEnd"/>
      <w:r w:rsidRPr="00692138">
        <w:rPr>
          <w:rFonts w:ascii="Times New Roman" w:hAnsi="Times New Roman" w:cs="Times New Roman"/>
          <w:sz w:val="24"/>
          <w:szCs w:val="24"/>
        </w:rPr>
        <w:t xml:space="preserve"> it seem</w:t>
      </w:r>
      <w:r w:rsidR="00DD12B8" w:rsidRPr="00692138">
        <w:rPr>
          <w:rFonts w:ascii="Times New Roman" w:hAnsi="Times New Roman" w:cs="Times New Roman"/>
          <w:sz w:val="24"/>
          <w:szCs w:val="24"/>
        </w:rPr>
        <w:t>ed to Woulfe and Hogan JJ.</w:t>
      </w:r>
      <w:r w:rsidRPr="00692138">
        <w:rPr>
          <w:rFonts w:ascii="Times New Roman" w:hAnsi="Times New Roman" w:cs="Times New Roman"/>
          <w:sz w:val="24"/>
          <w:szCs w:val="24"/>
        </w:rPr>
        <w:t xml:space="preserve"> totally contrary to public policy to allow the Bank’s claim in unjust enrichment</w:t>
      </w:r>
      <w:r w:rsidR="00311E20" w:rsidRPr="00692138">
        <w:rPr>
          <w:rFonts w:ascii="Times New Roman" w:hAnsi="Times New Roman" w:cs="Times New Roman"/>
          <w:sz w:val="24"/>
          <w:szCs w:val="24"/>
        </w:rPr>
        <w:t xml:space="preserve">. </w:t>
      </w:r>
    </w:p>
    <w:p w14:paraId="1282AF69" w14:textId="3C33E181" w:rsidR="0074010C" w:rsidRPr="00692138" w:rsidRDefault="00311E20" w:rsidP="00311E20">
      <w:pPr>
        <w:spacing w:line="480" w:lineRule="auto"/>
        <w:ind w:left="567" w:hanging="567"/>
        <w:jc w:val="both"/>
        <w:rPr>
          <w:rFonts w:ascii="Times New Roman" w:hAnsi="Times New Roman" w:cs="Times New Roman"/>
          <w:b/>
          <w:bCs/>
        </w:rPr>
      </w:pPr>
      <w:r w:rsidRPr="00692138">
        <w:rPr>
          <w:rFonts w:ascii="Times New Roman" w:hAnsi="Times New Roman" w:cs="Times New Roman"/>
          <w:b/>
          <w:bCs/>
        </w:rPr>
        <w:t>6.</w:t>
      </w:r>
      <w:r w:rsidRPr="00692138">
        <w:rPr>
          <w:rFonts w:ascii="Times New Roman" w:hAnsi="Times New Roman" w:cs="Times New Roman"/>
          <w:b/>
          <w:bCs/>
        </w:rPr>
        <w:tab/>
        <w:t xml:space="preserve">Postscript </w:t>
      </w:r>
    </w:p>
    <w:p w14:paraId="26338B88" w14:textId="638388AF" w:rsidR="00FA50D8" w:rsidRPr="00692138" w:rsidRDefault="00813A6A" w:rsidP="00311E20">
      <w:pPr>
        <w:pStyle w:val="ListParagraph"/>
        <w:numPr>
          <w:ilvl w:val="1"/>
          <w:numId w:val="13"/>
        </w:numPr>
        <w:spacing w:line="480" w:lineRule="auto"/>
        <w:ind w:left="567" w:hanging="567"/>
        <w:jc w:val="both"/>
        <w:rPr>
          <w:rFonts w:ascii="Times New Roman" w:hAnsi="Times New Roman" w:cs="Times New Roman"/>
          <w:sz w:val="24"/>
          <w:szCs w:val="24"/>
        </w:rPr>
      </w:pPr>
      <w:r w:rsidRPr="00692138">
        <w:rPr>
          <w:rFonts w:ascii="Times New Roman" w:hAnsi="Times New Roman" w:cs="Times New Roman"/>
          <w:sz w:val="24"/>
          <w:szCs w:val="24"/>
        </w:rPr>
        <w:t xml:space="preserve">It should be noted that these proceedings came back before the Court more recently on a separate issue </w:t>
      </w:r>
      <w:r w:rsidR="00311E20" w:rsidRPr="00692138">
        <w:rPr>
          <w:rFonts w:ascii="Times New Roman" w:hAnsi="Times New Roman" w:cs="Times New Roman"/>
          <w:sz w:val="24"/>
          <w:szCs w:val="24"/>
        </w:rPr>
        <w:t xml:space="preserve">(relating to an assignment of the debt), </w:t>
      </w:r>
      <w:r w:rsidR="001C5DC3" w:rsidRPr="00692138">
        <w:rPr>
          <w:rFonts w:ascii="Times New Roman" w:hAnsi="Times New Roman" w:cs="Times New Roman"/>
          <w:sz w:val="24"/>
          <w:szCs w:val="24"/>
        </w:rPr>
        <w:t>and an application to vary or rescind the judgment is currently before the Court</w:t>
      </w:r>
      <w:r w:rsidR="0074010C" w:rsidRPr="00692138">
        <w:rPr>
          <w:rFonts w:ascii="Times New Roman" w:hAnsi="Times New Roman" w:cs="Times New Roman"/>
          <w:sz w:val="24"/>
          <w:szCs w:val="24"/>
        </w:rPr>
        <w:t>.</w:t>
      </w:r>
    </w:p>
    <w:p w14:paraId="265783D6" w14:textId="77777777" w:rsidR="00AE2F46" w:rsidRPr="00692138" w:rsidRDefault="00AE2F46" w:rsidP="007F1F85">
      <w:pPr>
        <w:spacing w:line="480" w:lineRule="auto"/>
        <w:ind w:left="567"/>
        <w:jc w:val="both"/>
        <w:rPr>
          <w:rFonts w:ascii="Times New Roman" w:hAnsi="Times New Roman" w:cs="Times New Roman"/>
        </w:rPr>
      </w:pPr>
    </w:p>
    <w:p w14:paraId="238182BF" w14:textId="48528DB1" w:rsidR="00B335B3" w:rsidRPr="00692138" w:rsidRDefault="00B335B3" w:rsidP="007F1F85">
      <w:pPr>
        <w:pStyle w:val="ListParagraph"/>
        <w:spacing w:line="480" w:lineRule="auto"/>
        <w:ind w:left="567"/>
        <w:jc w:val="both"/>
        <w:rPr>
          <w:rFonts w:ascii="Times New Roman" w:hAnsi="Times New Roman" w:cs="Times New Roman"/>
          <w:b/>
          <w:bCs/>
          <w:sz w:val="24"/>
          <w:szCs w:val="24"/>
        </w:rPr>
      </w:pPr>
    </w:p>
    <w:p w14:paraId="49575684" w14:textId="77777777" w:rsidR="00B335B3" w:rsidRPr="00692138" w:rsidRDefault="00B335B3" w:rsidP="007F1F85">
      <w:pPr>
        <w:spacing w:line="480" w:lineRule="auto"/>
        <w:ind w:left="567"/>
        <w:jc w:val="both"/>
        <w:rPr>
          <w:rFonts w:ascii="Times New Roman" w:hAnsi="Times New Roman" w:cs="Times New Roman"/>
          <w:b/>
          <w:bCs/>
        </w:rPr>
      </w:pPr>
    </w:p>
    <w:sectPr w:rsidR="00B335B3" w:rsidRPr="00692138" w:rsidSect="00E7704D">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58DF" w14:textId="77777777" w:rsidR="007016E9" w:rsidRDefault="007016E9" w:rsidP="004A238E">
      <w:pPr>
        <w:spacing w:after="0" w:line="240" w:lineRule="auto"/>
      </w:pPr>
      <w:r>
        <w:separator/>
      </w:r>
    </w:p>
  </w:endnote>
  <w:endnote w:type="continuationSeparator" w:id="0">
    <w:p w14:paraId="1AC8002A" w14:textId="77777777" w:rsidR="007016E9" w:rsidRDefault="007016E9" w:rsidP="004A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865136"/>
      <w:docPartObj>
        <w:docPartGallery w:val="Page Numbers (Bottom of Page)"/>
        <w:docPartUnique/>
      </w:docPartObj>
    </w:sdtPr>
    <w:sdtEndPr>
      <w:rPr>
        <w:rFonts w:ascii="Times New Roman" w:hAnsi="Times New Roman" w:cs="Times New Roman"/>
        <w:noProof/>
      </w:rPr>
    </w:sdtEndPr>
    <w:sdtContent>
      <w:p w14:paraId="1A018A8E" w14:textId="27E52598" w:rsidR="00D93A96" w:rsidRPr="001932E3" w:rsidRDefault="00D93A96">
        <w:pPr>
          <w:pStyle w:val="Footer"/>
          <w:jc w:val="center"/>
          <w:rPr>
            <w:rFonts w:ascii="Times New Roman" w:hAnsi="Times New Roman" w:cs="Times New Roman"/>
          </w:rPr>
        </w:pPr>
        <w:r w:rsidRPr="001932E3">
          <w:rPr>
            <w:rFonts w:ascii="Times New Roman" w:hAnsi="Times New Roman" w:cs="Times New Roman"/>
          </w:rPr>
          <w:fldChar w:fldCharType="begin"/>
        </w:r>
        <w:r w:rsidRPr="001932E3">
          <w:rPr>
            <w:rFonts w:ascii="Times New Roman" w:hAnsi="Times New Roman" w:cs="Times New Roman"/>
          </w:rPr>
          <w:instrText xml:space="preserve"> PAGE   \* MERGEFORMAT </w:instrText>
        </w:r>
        <w:r w:rsidRPr="001932E3">
          <w:rPr>
            <w:rFonts w:ascii="Times New Roman" w:hAnsi="Times New Roman" w:cs="Times New Roman"/>
          </w:rPr>
          <w:fldChar w:fldCharType="separate"/>
        </w:r>
        <w:r w:rsidRPr="001932E3">
          <w:rPr>
            <w:rFonts w:ascii="Times New Roman" w:hAnsi="Times New Roman" w:cs="Times New Roman"/>
            <w:noProof/>
          </w:rPr>
          <w:t>2</w:t>
        </w:r>
        <w:r w:rsidRPr="001932E3">
          <w:rPr>
            <w:rFonts w:ascii="Times New Roman" w:hAnsi="Times New Roman" w:cs="Times New Roman"/>
            <w:noProof/>
          </w:rPr>
          <w:fldChar w:fldCharType="end"/>
        </w:r>
      </w:p>
    </w:sdtContent>
  </w:sdt>
  <w:p w14:paraId="0CDDE3AF" w14:textId="69E53A7C" w:rsidR="00700E00" w:rsidRPr="00700E00" w:rsidRDefault="00700E00" w:rsidP="00700E00">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C470" w14:textId="77777777" w:rsidR="00700E00" w:rsidRPr="00700E00" w:rsidRDefault="00700E00">
    <w:pPr>
      <w:pStyle w:val="Footer"/>
      <w:jc w:val="center"/>
      <w:rPr>
        <w:rFonts w:ascii="Times New Roman" w:hAnsi="Times New Roman" w:cs="Times New Roman"/>
        <w:caps/>
        <w:noProof/>
      </w:rPr>
    </w:pPr>
    <w:r w:rsidRPr="00700E00">
      <w:rPr>
        <w:rFonts w:ascii="Times New Roman" w:hAnsi="Times New Roman" w:cs="Times New Roman"/>
        <w:caps/>
      </w:rPr>
      <w:fldChar w:fldCharType="begin"/>
    </w:r>
    <w:r w:rsidRPr="00700E00">
      <w:rPr>
        <w:rFonts w:ascii="Times New Roman" w:hAnsi="Times New Roman" w:cs="Times New Roman"/>
        <w:caps/>
      </w:rPr>
      <w:instrText xml:space="preserve"> PAGE   \* MERGEFORMAT </w:instrText>
    </w:r>
    <w:r w:rsidRPr="00700E00">
      <w:rPr>
        <w:rFonts w:ascii="Times New Roman" w:hAnsi="Times New Roman" w:cs="Times New Roman"/>
        <w:caps/>
      </w:rPr>
      <w:fldChar w:fldCharType="separate"/>
    </w:r>
    <w:r w:rsidRPr="00700E00">
      <w:rPr>
        <w:rFonts w:ascii="Times New Roman" w:hAnsi="Times New Roman" w:cs="Times New Roman"/>
        <w:caps/>
        <w:noProof/>
      </w:rPr>
      <w:t>2</w:t>
    </w:r>
    <w:r w:rsidRPr="00700E00">
      <w:rPr>
        <w:rFonts w:ascii="Times New Roman" w:hAnsi="Times New Roman" w:cs="Times New Roman"/>
        <w:caps/>
        <w:noProof/>
      </w:rPr>
      <w:fldChar w:fldCharType="end"/>
    </w:r>
  </w:p>
  <w:p w14:paraId="07FE0F16" w14:textId="77777777" w:rsidR="00700E00" w:rsidRDefault="00700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0360" w14:textId="77777777" w:rsidR="007016E9" w:rsidRDefault="007016E9" w:rsidP="004A238E">
      <w:pPr>
        <w:spacing w:after="0" w:line="240" w:lineRule="auto"/>
      </w:pPr>
      <w:r>
        <w:separator/>
      </w:r>
    </w:p>
  </w:footnote>
  <w:footnote w:type="continuationSeparator" w:id="0">
    <w:p w14:paraId="6F62366C" w14:textId="77777777" w:rsidR="007016E9" w:rsidRDefault="007016E9" w:rsidP="004A2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B682" w14:textId="1FEF617E" w:rsidR="00E7704D" w:rsidRDefault="00E7704D">
    <w:pPr>
      <w:pStyle w:val="Header"/>
    </w:pPr>
    <w:r w:rsidRPr="00B96286">
      <w:rPr>
        <w:rFonts w:cstheme="minorHAnsi"/>
        <w:noProof/>
      </w:rPr>
      <w:drawing>
        <wp:anchor distT="0" distB="0" distL="114300" distR="114300" simplePos="0" relativeHeight="251659264" behindDoc="1" locked="0" layoutInCell="1" allowOverlap="1" wp14:anchorId="3D7BD7B8" wp14:editId="1EFBC159">
          <wp:simplePos x="0" y="0"/>
          <wp:positionH relativeFrom="margin">
            <wp:align>center</wp:align>
          </wp:positionH>
          <wp:positionV relativeFrom="page">
            <wp:posOffset>-635</wp:posOffset>
          </wp:positionV>
          <wp:extent cx="2331720" cy="139763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r_Court_Wide_2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1720" cy="13976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95F"/>
    <w:multiLevelType w:val="multilevel"/>
    <w:tmpl w:val="AF32968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8CA5BEA"/>
    <w:multiLevelType w:val="multilevel"/>
    <w:tmpl w:val="11BA84A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B1019"/>
    <w:multiLevelType w:val="hybridMultilevel"/>
    <w:tmpl w:val="9FE0BB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B0B2F49"/>
    <w:multiLevelType w:val="hybridMultilevel"/>
    <w:tmpl w:val="D828EF86"/>
    <w:lvl w:ilvl="0" w:tplc="86C6D95C">
      <w:start w:val="3"/>
      <w:numFmt w:val="decimal"/>
      <w:lvlText w:val="%1."/>
      <w:lvlJc w:val="left"/>
      <w:pPr>
        <w:ind w:left="1998" w:hanging="360"/>
      </w:pPr>
      <w:rPr>
        <w:rFonts w:ascii="Times New Roman" w:eastAsia="Georgia Pro" w:hAnsi="Times New Roman" w:cs="Times New Roman" w:hint="default"/>
        <w:i w:val="0"/>
        <w:iCs/>
        <w:sz w:val="24"/>
        <w:szCs w:val="24"/>
      </w:rPr>
    </w:lvl>
    <w:lvl w:ilvl="1" w:tplc="18090019" w:tentative="1">
      <w:start w:val="1"/>
      <w:numFmt w:val="lowerLetter"/>
      <w:lvlText w:val="%2."/>
      <w:lvlJc w:val="left"/>
      <w:pPr>
        <w:ind w:left="2718" w:hanging="360"/>
      </w:pPr>
    </w:lvl>
    <w:lvl w:ilvl="2" w:tplc="1809001B" w:tentative="1">
      <w:start w:val="1"/>
      <w:numFmt w:val="lowerRoman"/>
      <w:lvlText w:val="%3."/>
      <w:lvlJc w:val="right"/>
      <w:pPr>
        <w:ind w:left="3438" w:hanging="180"/>
      </w:pPr>
    </w:lvl>
    <w:lvl w:ilvl="3" w:tplc="1809000F" w:tentative="1">
      <w:start w:val="1"/>
      <w:numFmt w:val="decimal"/>
      <w:lvlText w:val="%4."/>
      <w:lvlJc w:val="left"/>
      <w:pPr>
        <w:ind w:left="4158" w:hanging="360"/>
      </w:pPr>
    </w:lvl>
    <w:lvl w:ilvl="4" w:tplc="18090019" w:tentative="1">
      <w:start w:val="1"/>
      <w:numFmt w:val="lowerLetter"/>
      <w:lvlText w:val="%5."/>
      <w:lvlJc w:val="left"/>
      <w:pPr>
        <w:ind w:left="4878" w:hanging="360"/>
      </w:pPr>
    </w:lvl>
    <w:lvl w:ilvl="5" w:tplc="1809001B" w:tentative="1">
      <w:start w:val="1"/>
      <w:numFmt w:val="lowerRoman"/>
      <w:lvlText w:val="%6."/>
      <w:lvlJc w:val="right"/>
      <w:pPr>
        <w:ind w:left="5598" w:hanging="180"/>
      </w:pPr>
    </w:lvl>
    <w:lvl w:ilvl="6" w:tplc="1809000F" w:tentative="1">
      <w:start w:val="1"/>
      <w:numFmt w:val="decimal"/>
      <w:lvlText w:val="%7."/>
      <w:lvlJc w:val="left"/>
      <w:pPr>
        <w:ind w:left="6318" w:hanging="360"/>
      </w:pPr>
    </w:lvl>
    <w:lvl w:ilvl="7" w:tplc="18090019" w:tentative="1">
      <w:start w:val="1"/>
      <w:numFmt w:val="lowerLetter"/>
      <w:lvlText w:val="%8."/>
      <w:lvlJc w:val="left"/>
      <w:pPr>
        <w:ind w:left="7038" w:hanging="360"/>
      </w:pPr>
    </w:lvl>
    <w:lvl w:ilvl="8" w:tplc="1809001B" w:tentative="1">
      <w:start w:val="1"/>
      <w:numFmt w:val="lowerRoman"/>
      <w:lvlText w:val="%9."/>
      <w:lvlJc w:val="right"/>
      <w:pPr>
        <w:ind w:left="7758" w:hanging="180"/>
      </w:pPr>
    </w:lvl>
  </w:abstractNum>
  <w:abstractNum w:abstractNumId="4" w15:restartNumberingAfterBreak="0">
    <w:nsid w:val="23AF2773"/>
    <w:multiLevelType w:val="hybridMultilevel"/>
    <w:tmpl w:val="2C168C9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E676C7E"/>
    <w:multiLevelType w:val="hybridMultilevel"/>
    <w:tmpl w:val="7CF8B894"/>
    <w:lvl w:ilvl="0" w:tplc="A4E45088">
      <w:start w:val="1"/>
      <w:numFmt w:val="decimal"/>
      <w:lvlText w:val="%1."/>
      <w:lvlJc w:val="left"/>
      <w:pPr>
        <w:ind w:left="720" w:hanging="360"/>
      </w:pPr>
      <w:rPr>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F046216"/>
    <w:multiLevelType w:val="hybridMultilevel"/>
    <w:tmpl w:val="6610FD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38C73C7"/>
    <w:multiLevelType w:val="multilevel"/>
    <w:tmpl w:val="6F6286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8" w15:restartNumberingAfterBreak="0">
    <w:nsid w:val="568200DA"/>
    <w:multiLevelType w:val="multilevel"/>
    <w:tmpl w:val="19A67A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1C78E3"/>
    <w:multiLevelType w:val="hybridMultilevel"/>
    <w:tmpl w:val="7874986E"/>
    <w:lvl w:ilvl="0" w:tplc="17B259AC">
      <w:start w:val="1"/>
      <w:numFmt w:val="bullet"/>
      <w:lvlText w:val="-"/>
      <w:lvlJc w:val="left"/>
      <w:pPr>
        <w:ind w:left="1080" w:hanging="360"/>
      </w:pPr>
      <w:rPr>
        <w:rFonts w:ascii="Times New Roman" w:eastAsiaTheme="minorEastAsia"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6BF033EF"/>
    <w:multiLevelType w:val="hybridMultilevel"/>
    <w:tmpl w:val="1FEACFF6"/>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6C9D108F"/>
    <w:multiLevelType w:val="multilevel"/>
    <w:tmpl w:val="FFC0F752"/>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ADB6850"/>
    <w:multiLevelType w:val="multilevel"/>
    <w:tmpl w:val="2A94BD96"/>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bCs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16cid:durableId="1509442518">
    <w:abstractNumId w:val="5"/>
  </w:num>
  <w:num w:numId="2" w16cid:durableId="143010675">
    <w:abstractNumId w:val="4"/>
  </w:num>
  <w:num w:numId="3" w16cid:durableId="519591214">
    <w:abstractNumId w:val="9"/>
  </w:num>
  <w:num w:numId="4" w16cid:durableId="1306741146">
    <w:abstractNumId w:val="10"/>
  </w:num>
  <w:num w:numId="5" w16cid:durableId="1892961689">
    <w:abstractNumId w:val="6"/>
  </w:num>
  <w:num w:numId="6" w16cid:durableId="2052612609">
    <w:abstractNumId w:val="2"/>
  </w:num>
  <w:num w:numId="7" w16cid:durableId="395250056">
    <w:abstractNumId w:val="12"/>
  </w:num>
  <w:num w:numId="8" w16cid:durableId="480536770">
    <w:abstractNumId w:val="0"/>
  </w:num>
  <w:num w:numId="9" w16cid:durableId="699016668">
    <w:abstractNumId w:val="7"/>
  </w:num>
  <w:num w:numId="10" w16cid:durableId="902720099">
    <w:abstractNumId w:val="3"/>
  </w:num>
  <w:num w:numId="11" w16cid:durableId="1470366007">
    <w:abstractNumId w:val="11"/>
  </w:num>
  <w:num w:numId="12" w16cid:durableId="684748042">
    <w:abstractNumId w:val="1"/>
  </w:num>
  <w:num w:numId="13" w16cid:durableId="1946692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8E"/>
    <w:rsid w:val="00003D64"/>
    <w:rsid w:val="000132A6"/>
    <w:rsid w:val="00014438"/>
    <w:rsid w:val="00016AA4"/>
    <w:rsid w:val="0002037D"/>
    <w:rsid w:val="00023502"/>
    <w:rsid w:val="0003598A"/>
    <w:rsid w:val="00041A5F"/>
    <w:rsid w:val="000602E6"/>
    <w:rsid w:val="000663F7"/>
    <w:rsid w:val="000767F6"/>
    <w:rsid w:val="0008625C"/>
    <w:rsid w:val="0009571E"/>
    <w:rsid w:val="000A4D9E"/>
    <w:rsid w:val="000B64E9"/>
    <w:rsid w:val="000B6C2E"/>
    <w:rsid w:val="000C292A"/>
    <w:rsid w:val="000C3266"/>
    <w:rsid w:val="000D00C8"/>
    <w:rsid w:val="000D2E93"/>
    <w:rsid w:val="000F2B46"/>
    <w:rsid w:val="001146C9"/>
    <w:rsid w:val="0016764F"/>
    <w:rsid w:val="00175A27"/>
    <w:rsid w:val="00176759"/>
    <w:rsid w:val="001932E3"/>
    <w:rsid w:val="00195737"/>
    <w:rsid w:val="001964B8"/>
    <w:rsid w:val="001A683B"/>
    <w:rsid w:val="001B644C"/>
    <w:rsid w:val="001C0D65"/>
    <w:rsid w:val="001C1A7C"/>
    <w:rsid w:val="001C5A16"/>
    <w:rsid w:val="001C5DC3"/>
    <w:rsid w:val="001D2970"/>
    <w:rsid w:val="001D7611"/>
    <w:rsid w:val="001E6D15"/>
    <w:rsid w:val="001F0908"/>
    <w:rsid w:val="00200F57"/>
    <w:rsid w:val="002155BD"/>
    <w:rsid w:val="0021568F"/>
    <w:rsid w:val="00215F68"/>
    <w:rsid w:val="002242DE"/>
    <w:rsid w:val="0023725B"/>
    <w:rsid w:val="00250082"/>
    <w:rsid w:val="00260518"/>
    <w:rsid w:val="00272F5C"/>
    <w:rsid w:val="00285500"/>
    <w:rsid w:val="00285721"/>
    <w:rsid w:val="00295096"/>
    <w:rsid w:val="002959CB"/>
    <w:rsid w:val="00296A22"/>
    <w:rsid w:val="002970D7"/>
    <w:rsid w:val="002A0A8E"/>
    <w:rsid w:val="002A5153"/>
    <w:rsid w:val="002B3B09"/>
    <w:rsid w:val="002D26AD"/>
    <w:rsid w:val="002E4766"/>
    <w:rsid w:val="002E67D6"/>
    <w:rsid w:val="002F13C2"/>
    <w:rsid w:val="002F2698"/>
    <w:rsid w:val="00311955"/>
    <w:rsid w:val="00311E20"/>
    <w:rsid w:val="00330E8D"/>
    <w:rsid w:val="003358EA"/>
    <w:rsid w:val="00346AA4"/>
    <w:rsid w:val="00353AC6"/>
    <w:rsid w:val="003613A5"/>
    <w:rsid w:val="00372E8F"/>
    <w:rsid w:val="003745D7"/>
    <w:rsid w:val="003746D9"/>
    <w:rsid w:val="00383CE7"/>
    <w:rsid w:val="00391204"/>
    <w:rsid w:val="003A0DCA"/>
    <w:rsid w:val="003B48A8"/>
    <w:rsid w:val="003D0E33"/>
    <w:rsid w:val="003D241B"/>
    <w:rsid w:val="003E12D9"/>
    <w:rsid w:val="003E1B2D"/>
    <w:rsid w:val="003F0469"/>
    <w:rsid w:val="00411346"/>
    <w:rsid w:val="00425141"/>
    <w:rsid w:val="00427407"/>
    <w:rsid w:val="00437A8A"/>
    <w:rsid w:val="0044003D"/>
    <w:rsid w:val="00454CBD"/>
    <w:rsid w:val="00457B35"/>
    <w:rsid w:val="0046154D"/>
    <w:rsid w:val="00474986"/>
    <w:rsid w:val="00484825"/>
    <w:rsid w:val="00490A46"/>
    <w:rsid w:val="00492DF5"/>
    <w:rsid w:val="004A238E"/>
    <w:rsid w:val="004B6990"/>
    <w:rsid w:val="004C2DF8"/>
    <w:rsid w:val="004C3C38"/>
    <w:rsid w:val="004C7C17"/>
    <w:rsid w:val="004D0DE3"/>
    <w:rsid w:val="004E11B6"/>
    <w:rsid w:val="004E30D5"/>
    <w:rsid w:val="004E6DC6"/>
    <w:rsid w:val="004F1FCC"/>
    <w:rsid w:val="00523010"/>
    <w:rsid w:val="005614B2"/>
    <w:rsid w:val="0056252C"/>
    <w:rsid w:val="0056308D"/>
    <w:rsid w:val="00590642"/>
    <w:rsid w:val="005A1C3B"/>
    <w:rsid w:val="005A7FB4"/>
    <w:rsid w:val="005C6583"/>
    <w:rsid w:val="005E003A"/>
    <w:rsid w:val="005E4B60"/>
    <w:rsid w:val="005E7D60"/>
    <w:rsid w:val="00600267"/>
    <w:rsid w:val="00602731"/>
    <w:rsid w:val="00640BF9"/>
    <w:rsid w:val="0064254F"/>
    <w:rsid w:val="0064608B"/>
    <w:rsid w:val="006522AE"/>
    <w:rsid w:val="00665C5F"/>
    <w:rsid w:val="00677868"/>
    <w:rsid w:val="006836BF"/>
    <w:rsid w:val="00692138"/>
    <w:rsid w:val="006A273C"/>
    <w:rsid w:val="006A3DCA"/>
    <w:rsid w:val="006B18FF"/>
    <w:rsid w:val="006B3C99"/>
    <w:rsid w:val="006E530D"/>
    <w:rsid w:val="00700E00"/>
    <w:rsid w:val="007016E9"/>
    <w:rsid w:val="0070312C"/>
    <w:rsid w:val="00705F9A"/>
    <w:rsid w:val="0074010C"/>
    <w:rsid w:val="00747D95"/>
    <w:rsid w:val="00752EE0"/>
    <w:rsid w:val="007562BA"/>
    <w:rsid w:val="00781519"/>
    <w:rsid w:val="00794711"/>
    <w:rsid w:val="007A7030"/>
    <w:rsid w:val="007B5036"/>
    <w:rsid w:val="007C25E6"/>
    <w:rsid w:val="007D4A54"/>
    <w:rsid w:val="007E00EE"/>
    <w:rsid w:val="007E10DC"/>
    <w:rsid w:val="007E1893"/>
    <w:rsid w:val="007F1F85"/>
    <w:rsid w:val="007F2EB9"/>
    <w:rsid w:val="007F45A1"/>
    <w:rsid w:val="007F7315"/>
    <w:rsid w:val="00812657"/>
    <w:rsid w:val="00813813"/>
    <w:rsid w:val="00813A6A"/>
    <w:rsid w:val="0082715F"/>
    <w:rsid w:val="00830843"/>
    <w:rsid w:val="008372BF"/>
    <w:rsid w:val="00837993"/>
    <w:rsid w:val="00843E53"/>
    <w:rsid w:val="008462A9"/>
    <w:rsid w:val="008607B0"/>
    <w:rsid w:val="0086164E"/>
    <w:rsid w:val="00861707"/>
    <w:rsid w:val="00861C42"/>
    <w:rsid w:val="008643C4"/>
    <w:rsid w:val="008659B5"/>
    <w:rsid w:val="008900EA"/>
    <w:rsid w:val="00890E2C"/>
    <w:rsid w:val="00897E7F"/>
    <w:rsid w:val="008C2335"/>
    <w:rsid w:val="008E4B18"/>
    <w:rsid w:val="008F319C"/>
    <w:rsid w:val="008F40F7"/>
    <w:rsid w:val="00901C4F"/>
    <w:rsid w:val="00902BF3"/>
    <w:rsid w:val="0090350E"/>
    <w:rsid w:val="00904865"/>
    <w:rsid w:val="00911F72"/>
    <w:rsid w:val="0091296B"/>
    <w:rsid w:val="00914DED"/>
    <w:rsid w:val="00930A07"/>
    <w:rsid w:val="00942601"/>
    <w:rsid w:val="00952084"/>
    <w:rsid w:val="00953948"/>
    <w:rsid w:val="009717D7"/>
    <w:rsid w:val="0099100C"/>
    <w:rsid w:val="0099537D"/>
    <w:rsid w:val="009C7066"/>
    <w:rsid w:val="009C7431"/>
    <w:rsid w:val="009E5E2A"/>
    <w:rsid w:val="00A10CEA"/>
    <w:rsid w:val="00A14F23"/>
    <w:rsid w:val="00A17B17"/>
    <w:rsid w:val="00A20781"/>
    <w:rsid w:val="00A23401"/>
    <w:rsid w:val="00A24C41"/>
    <w:rsid w:val="00A24F91"/>
    <w:rsid w:val="00A266B5"/>
    <w:rsid w:val="00A31749"/>
    <w:rsid w:val="00A35DFD"/>
    <w:rsid w:val="00A42781"/>
    <w:rsid w:val="00A42BC9"/>
    <w:rsid w:val="00A55CAC"/>
    <w:rsid w:val="00A6437A"/>
    <w:rsid w:val="00A85045"/>
    <w:rsid w:val="00AA6588"/>
    <w:rsid w:val="00AA7CC2"/>
    <w:rsid w:val="00AC1513"/>
    <w:rsid w:val="00AE2F46"/>
    <w:rsid w:val="00AE7CD8"/>
    <w:rsid w:val="00AF2600"/>
    <w:rsid w:val="00AF4EBB"/>
    <w:rsid w:val="00B06B18"/>
    <w:rsid w:val="00B169A5"/>
    <w:rsid w:val="00B20CEC"/>
    <w:rsid w:val="00B30074"/>
    <w:rsid w:val="00B335B3"/>
    <w:rsid w:val="00B3761F"/>
    <w:rsid w:val="00B500DE"/>
    <w:rsid w:val="00B63965"/>
    <w:rsid w:val="00B63D13"/>
    <w:rsid w:val="00B63F25"/>
    <w:rsid w:val="00B74DFB"/>
    <w:rsid w:val="00BA266C"/>
    <w:rsid w:val="00BA577F"/>
    <w:rsid w:val="00BA6B43"/>
    <w:rsid w:val="00BA6CC7"/>
    <w:rsid w:val="00BB4DB5"/>
    <w:rsid w:val="00BB5809"/>
    <w:rsid w:val="00BD14B5"/>
    <w:rsid w:val="00BD3D45"/>
    <w:rsid w:val="00BE3469"/>
    <w:rsid w:val="00C06E23"/>
    <w:rsid w:val="00C07933"/>
    <w:rsid w:val="00C10F19"/>
    <w:rsid w:val="00C230B5"/>
    <w:rsid w:val="00C24FE6"/>
    <w:rsid w:val="00C333A5"/>
    <w:rsid w:val="00C4326A"/>
    <w:rsid w:val="00C45A40"/>
    <w:rsid w:val="00C540ED"/>
    <w:rsid w:val="00C60BAD"/>
    <w:rsid w:val="00C63C73"/>
    <w:rsid w:val="00C6774C"/>
    <w:rsid w:val="00C73D6D"/>
    <w:rsid w:val="00C76C42"/>
    <w:rsid w:val="00C839AA"/>
    <w:rsid w:val="00C878F5"/>
    <w:rsid w:val="00C907AD"/>
    <w:rsid w:val="00C90810"/>
    <w:rsid w:val="00C93507"/>
    <w:rsid w:val="00CA74E0"/>
    <w:rsid w:val="00CB1669"/>
    <w:rsid w:val="00CC25CC"/>
    <w:rsid w:val="00CE3C44"/>
    <w:rsid w:val="00CE49DA"/>
    <w:rsid w:val="00CE5A0B"/>
    <w:rsid w:val="00CE7454"/>
    <w:rsid w:val="00D20F16"/>
    <w:rsid w:val="00D30F4E"/>
    <w:rsid w:val="00D436CA"/>
    <w:rsid w:val="00D51C44"/>
    <w:rsid w:val="00D841B7"/>
    <w:rsid w:val="00D93A32"/>
    <w:rsid w:val="00D93A96"/>
    <w:rsid w:val="00D9531C"/>
    <w:rsid w:val="00DA39BE"/>
    <w:rsid w:val="00DD00C9"/>
    <w:rsid w:val="00DD12B8"/>
    <w:rsid w:val="00DE3EE9"/>
    <w:rsid w:val="00DE774C"/>
    <w:rsid w:val="00E00317"/>
    <w:rsid w:val="00E140DE"/>
    <w:rsid w:val="00E16280"/>
    <w:rsid w:val="00E20C9C"/>
    <w:rsid w:val="00E2468E"/>
    <w:rsid w:val="00E30631"/>
    <w:rsid w:val="00E441E5"/>
    <w:rsid w:val="00E5460C"/>
    <w:rsid w:val="00E71715"/>
    <w:rsid w:val="00E7704D"/>
    <w:rsid w:val="00E91A65"/>
    <w:rsid w:val="00E93FB7"/>
    <w:rsid w:val="00EB25B3"/>
    <w:rsid w:val="00EB4D4C"/>
    <w:rsid w:val="00EC0268"/>
    <w:rsid w:val="00EC28F2"/>
    <w:rsid w:val="00ED0EB7"/>
    <w:rsid w:val="00ED1030"/>
    <w:rsid w:val="00F05925"/>
    <w:rsid w:val="00F141F8"/>
    <w:rsid w:val="00F164BB"/>
    <w:rsid w:val="00F2641D"/>
    <w:rsid w:val="00F42254"/>
    <w:rsid w:val="00F62895"/>
    <w:rsid w:val="00F70A6D"/>
    <w:rsid w:val="00F75DE4"/>
    <w:rsid w:val="00F808B6"/>
    <w:rsid w:val="00F93217"/>
    <w:rsid w:val="00F965D4"/>
    <w:rsid w:val="00FA4160"/>
    <w:rsid w:val="00FA50D8"/>
    <w:rsid w:val="00FA6571"/>
    <w:rsid w:val="00FE0A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1DE4"/>
  <w15:chartTrackingRefBased/>
  <w15:docId w15:val="{ABF49099-1332-4CB5-BBD4-88BBCC17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38E"/>
    <w:pPr>
      <w:spacing w:line="279" w:lineRule="auto"/>
    </w:pPr>
    <w:rPr>
      <w:rFonts w:eastAsiaTheme="minorEastAsia"/>
      <w:kern w:val="0"/>
      <w:sz w:val="24"/>
      <w:szCs w:val="24"/>
      <w:lang w:val="en-GB" w:eastAsia="ja-JP"/>
      <w14:ligatures w14:val="none"/>
    </w:rPr>
  </w:style>
  <w:style w:type="paragraph" w:styleId="Heading1">
    <w:name w:val="heading 1"/>
    <w:basedOn w:val="Normal"/>
    <w:next w:val="Normal"/>
    <w:link w:val="Heading1Char"/>
    <w:uiPriority w:val="9"/>
    <w:qFormat/>
    <w:rsid w:val="004A238E"/>
    <w:pPr>
      <w:keepNext/>
      <w:keepLines/>
      <w:spacing w:before="360" w:after="80" w:line="259" w:lineRule="auto"/>
      <w:outlineLvl w:val="0"/>
    </w:pPr>
    <w:rPr>
      <w:rFonts w:asciiTheme="majorHAnsi" w:eastAsiaTheme="majorEastAsia" w:hAnsiTheme="majorHAnsi" w:cstheme="majorBidi"/>
      <w:color w:val="005383" w:themeColor="accent1" w:themeShade="BF"/>
      <w:kern w:val="2"/>
      <w:sz w:val="40"/>
      <w:szCs w:val="40"/>
      <w:lang w:val="en-IE" w:eastAsia="en-US"/>
      <w14:ligatures w14:val="standardContextual"/>
    </w:rPr>
  </w:style>
  <w:style w:type="paragraph" w:styleId="Heading2">
    <w:name w:val="heading 2"/>
    <w:basedOn w:val="Normal"/>
    <w:next w:val="Normal"/>
    <w:link w:val="Heading2Char"/>
    <w:uiPriority w:val="9"/>
    <w:semiHidden/>
    <w:unhideWhenUsed/>
    <w:qFormat/>
    <w:rsid w:val="004A238E"/>
    <w:pPr>
      <w:keepNext/>
      <w:keepLines/>
      <w:spacing w:before="160" w:after="80" w:line="259" w:lineRule="auto"/>
      <w:outlineLvl w:val="1"/>
    </w:pPr>
    <w:rPr>
      <w:rFonts w:asciiTheme="majorHAnsi" w:eastAsiaTheme="majorEastAsia" w:hAnsiTheme="majorHAnsi" w:cstheme="majorBidi"/>
      <w:color w:val="005383" w:themeColor="accent1" w:themeShade="BF"/>
      <w:kern w:val="2"/>
      <w:sz w:val="32"/>
      <w:szCs w:val="32"/>
      <w:lang w:val="en-IE" w:eastAsia="en-US"/>
      <w14:ligatures w14:val="standardContextual"/>
    </w:rPr>
  </w:style>
  <w:style w:type="paragraph" w:styleId="Heading3">
    <w:name w:val="heading 3"/>
    <w:basedOn w:val="Normal"/>
    <w:next w:val="Normal"/>
    <w:link w:val="Heading3Char"/>
    <w:uiPriority w:val="9"/>
    <w:semiHidden/>
    <w:unhideWhenUsed/>
    <w:qFormat/>
    <w:rsid w:val="004A238E"/>
    <w:pPr>
      <w:keepNext/>
      <w:keepLines/>
      <w:spacing w:before="160" w:after="80" w:line="259" w:lineRule="auto"/>
      <w:outlineLvl w:val="2"/>
    </w:pPr>
    <w:rPr>
      <w:rFonts w:eastAsiaTheme="majorEastAsia" w:cstheme="majorBidi"/>
      <w:color w:val="005383" w:themeColor="accent1" w:themeShade="BF"/>
      <w:kern w:val="2"/>
      <w:sz w:val="28"/>
      <w:szCs w:val="28"/>
      <w:lang w:val="en-IE" w:eastAsia="en-US"/>
      <w14:ligatures w14:val="standardContextual"/>
    </w:rPr>
  </w:style>
  <w:style w:type="paragraph" w:styleId="Heading4">
    <w:name w:val="heading 4"/>
    <w:basedOn w:val="Normal"/>
    <w:next w:val="Normal"/>
    <w:link w:val="Heading4Char"/>
    <w:uiPriority w:val="9"/>
    <w:semiHidden/>
    <w:unhideWhenUsed/>
    <w:qFormat/>
    <w:rsid w:val="004A238E"/>
    <w:pPr>
      <w:keepNext/>
      <w:keepLines/>
      <w:spacing w:before="80" w:after="40" w:line="259" w:lineRule="auto"/>
      <w:outlineLvl w:val="3"/>
    </w:pPr>
    <w:rPr>
      <w:rFonts w:eastAsiaTheme="majorEastAsia" w:cstheme="majorBidi"/>
      <w:i/>
      <w:iCs/>
      <w:color w:val="005383" w:themeColor="accent1" w:themeShade="BF"/>
      <w:kern w:val="2"/>
      <w:sz w:val="22"/>
      <w:szCs w:val="22"/>
      <w:lang w:val="en-IE" w:eastAsia="en-US"/>
      <w14:ligatures w14:val="standardContextual"/>
    </w:rPr>
  </w:style>
  <w:style w:type="paragraph" w:styleId="Heading5">
    <w:name w:val="heading 5"/>
    <w:basedOn w:val="Normal"/>
    <w:next w:val="Normal"/>
    <w:link w:val="Heading5Char"/>
    <w:uiPriority w:val="9"/>
    <w:semiHidden/>
    <w:unhideWhenUsed/>
    <w:qFormat/>
    <w:rsid w:val="004A238E"/>
    <w:pPr>
      <w:keepNext/>
      <w:keepLines/>
      <w:spacing w:before="80" w:after="40" w:line="259" w:lineRule="auto"/>
      <w:outlineLvl w:val="4"/>
    </w:pPr>
    <w:rPr>
      <w:rFonts w:eastAsiaTheme="majorEastAsia" w:cstheme="majorBidi"/>
      <w:color w:val="005383" w:themeColor="accent1" w:themeShade="BF"/>
      <w:kern w:val="2"/>
      <w:sz w:val="22"/>
      <w:szCs w:val="22"/>
      <w:lang w:val="en-IE" w:eastAsia="en-US"/>
      <w14:ligatures w14:val="standardContextual"/>
    </w:rPr>
  </w:style>
  <w:style w:type="paragraph" w:styleId="Heading6">
    <w:name w:val="heading 6"/>
    <w:basedOn w:val="Normal"/>
    <w:next w:val="Normal"/>
    <w:link w:val="Heading6Char"/>
    <w:uiPriority w:val="9"/>
    <w:semiHidden/>
    <w:unhideWhenUsed/>
    <w:qFormat/>
    <w:rsid w:val="004A238E"/>
    <w:pPr>
      <w:keepNext/>
      <w:keepLines/>
      <w:spacing w:before="40" w:after="0" w:line="259" w:lineRule="auto"/>
      <w:outlineLvl w:val="5"/>
    </w:pPr>
    <w:rPr>
      <w:rFonts w:eastAsiaTheme="majorEastAsia" w:cstheme="majorBidi"/>
      <w:i/>
      <w:iCs/>
      <w:color w:val="595959" w:themeColor="text1" w:themeTint="A6"/>
      <w:kern w:val="2"/>
      <w:sz w:val="22"/>
      <w:szCs w:val="22"/>
      <w:lang w:val="en-IE" w:eastAsia="en-US"/>
      <w14:ligatures w14:val="standardContextual"/>
    </w:rPr>
  </w:style>
  <w:style w:type="paragraph" w:styleId="Heading7">
    <w:name w:val="heading 7"/>
    <w:basedOn w:val="Normal"/>
    <w:next w:val="Normal"/>
    <w:link w:val="Heading7Char"/>
    <w:uiPriority w:val="9"/>
    <w:semiHidden/>
    <w:unhideWhenUsed/>
    <w:qFormat/>
    <w:rsid w:val="004A238E"/>
    <w:pPr>
      <w:keepNext/>
      <w:keepLines/>
      <w:spacing w:before="40" w:after="0" w:line="259" w:lineRule="auto"/>
      <w:outlineLvl w:val="6"/>
    </w:pPr>
    <w:rPr>
      <w:rFonts w:eastAsiaTheme="majorEastAsia" w:cstheme="majorBidi"/>
      <w:color w:val="595959" w:themeColor="text1" w:themeTint="A6"/>
      <w:kern w:val="2"/>
      <w:sz w:val="22"/>
      <w:szCs w:val="22"/>
      <w:lang w:val="en-IE" w:eastAsia="en-US"/>
      <w14:ligatures w14:val="standardContextual"/>
    </w:rPr>
  </w:style>
  <w:style w:type="paragraph" w:styleId="Heading8">
    <w:name w:val="heading 8"/>
    <w:basedOn w:val="Normal"/>
    <w:next w:val="Normal"/>
    <w:link w:val="Heading8Char"/>
    <w:uiPriority w:val="9"/>
    <w:semiHidden/>
    <w:unhideWhenUsed/>
    <w:qFormat/>
    <w:rsid w:val="004A238E"/>
    <w:pPr>
      <w:keepNext/>
      <w:keepLines/>
      <w:spacing w:after="0" w:line="259" w:lineRule="auto"/>
      <w:outlineLvl w:val="7"/>
    </w:pPr>
    <w:rPr>
      <w:rFonts w:eastAsiaTheme="majorEastAsia" w:cstheme="majorBidi"/>
      <w:i/>
      <w:iCs/>
      <w:color w:val="272727" w:themeColor="text1" w:themeTint="D8"/>
      <w:kern w:val="2"/>
      <w:sz w:val="22"/>
      <w:szCs w:val="22"/>
      <w:lang w:val="en-IE" w:eastAsia="en-US"/>
      <w14:ligatures w14:val="standardContextual"/>
    </w:rPr>
  </w:style>
  <w:style w:type="paragraph" w:styleId="Heading9">
    <w:name w:val="heading 9"/>
    <w:basedOn w:val="Normal"/>
    <w:next w:val="Normal"/>
    <w:link w:val="Heading9Char"/>
    <w:uiPriority w:val="9"/>
    <w:semiHidden/>
    <w:unhideWhenUsed/>
    <w:qFormat/>
    <w:rsid w:val="004A238E"/>
    <w:pPr>
      <w:keepNext/>
      <w:keepLines/>
      <w:spacing w:after="0" w:line="259" w:lineRule="auto"/>
      <w:outlineLvl w:val="8"/>
    </w:pPr>
    <w:rPr>
      <w:rFonts w:eastAsiaTheme="majorEastAsia" w:cstheme="majorBidi"/>
      <w:color w:val="272727" w:themeColor="text1" w:themeTint="D8"/>
      <w:kern w:val="2"/>
      <w:sz w:val="22"/>
      <w:szCs w:val="22"/>
      <w:lang w:val="en-IE"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38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A238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A238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A238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A238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A2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38E"/>
    <w:rPr>
      <w:rFonts w:eastAsiaTheme="majorEastAsia" w:cstheme="majorBidi"/>
      <w:color w:val="272727" w:themeColor="text1" w:themeTint="D8"/>
    </w:rPr>
  </w:style>
  <w:style w:type="paragraph" w:styleId="Title">
    <w:name w:val="Title"/>
    <w:basedOn w:val="Normal"/>
    <w:next w:val="Normal"/>
    <w:link w:val="TitleChar"/>
    <w:uiPriority w:val="10"/>
    <w:qFormat/>
    <w:rsid w:val="004A238E"/>
    <w:pPr>
      <w:spacing w:after="80" w:line="240" w:lineRule="auto"/>
      <w:contextualSpacing/>
    </w:pPr>
    <w:rPr>
      <w:rFonts w:asciiTheme="majorHAnsi" w:eastAsiaTheme="majorEastAsia" w:hAnsiTheme="majorHAnsi" w:cstheme="majorBidi"/>
      <w:spacing w:val="-10"/>
      <w:kern w:val="28"/>
      <w:sz w:val="56"/>
      <w:szCs w:val="56"/>
      <w:lang w:val="en-IE" w:eastAsia="en-US"/>
      <w14:ligatures w14:val="standardContextual"/>
    </w:rPr>
  </w:style>
  <w:style w:type="character" w:customStyle="1" w:styleId="TitleChar">
    <w:name w:val="Title Char"/>
    <w:basedOn w:val="DefaultParagraphFont"/>
    <w:link w:val="Title"/>
    <w:uiPriority w:val="10"/>
    <w:rsid w:val="004A2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38E"/>
    <w:pPr>
      <w:numPr>
        <w:ilvl w:val="1"/>
      </w:numPr>
      <w:spacing w:line="259" w:lineRule="auto"/>
    </w:pPr>
    <w:rPr>
      <w:rFonts w:eastAsiaTheme="majorEastAsia" w:cstheme="majorBidi"/>
      <w:color w:val="595959" w:themeColor="text1" w:themeTint="A6"/>
      <w:spacing w:val="15"/>
      <w:kern w:val="2"/>
      <w:sz w:val="28"/>
      <w:szCs w:val="28"/>
      <w:lang w:val="en-IE" w:eastAsia="en-US"/>
      <w14:ligatures w14:val="standardContextual"/>
    </w:rPr>
  </w:style>
  <w:style w:type="character" w:customStyle="1" w:styleId="SubtitleChar">
    <w:name w:val="Subtitle Char"/>
    <w:basedOn w:val="DefaultParagraphFont"/>
    <w:link w:val="Subtitle"/>
    <w:uiPriority w:val="11"/>
    <w:rsid w:val="004A2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38E"/>
    <w:pPr>
      <w:spacing w:before="160" w:line="259" w:lineRule="auto"/>
      <w:jc w:val="center"/>
    </w:pPr>
    <w:rPr>
      <w:rFonts w:eastAsiaTheme="minorHAnsi"/>
      <w:i/>
      <w:iCs/>
      <w:color w:val="404040" w:themeColor="text1" w:themeTint="BF"/>
      <w:kern w:val="2"/>
      <w:sz w:val="22"/>
      <w:szCs w:val="22"/>
      <w:lang w:val="en-IE" w:eastAsia="en-US"/>
      <w14:ligatures w14:val="standardContextual"/>
    </w:rPr>
  </w:style>
  <w:style w:type="character" w:customStyle="1" w:styleId="QuoteChar">
    <w:name w:val="Quote Char"/>
    <w:basedOn w:val="DefaultParagraphFont"/>
    <w:link w:val="Quote"/>
    <w:uiPriority w:val="29"/>
    <w:rsid w:val="004A238E"/>
    <w:rPr>
      <w:i/>
      <w:iCs/>
      <w:color w:val="404040" w:themeColor="text1" w:themeTint="BF"/>
    </w:rPr>
  </w:style>
  <w:style w:type="paragraph" w:styleId="ListParagraph">
    <w:name w:val="List Paragraph"/>
    <w:basedOn w:val="Normal"/>
    <w:uiPriority w:val="34"/>
    <w:qFormat/>
    <w:rsid w:val="004A238E"/>
    <w:pPr>
      <w:spacing w:line="259" w:lineRule="auto"/>
      <w:ind w:left="720"/>
      <w:contextualSpacing/>
    </w:pPr>
    <w:rPr>
      <w:rFonts w:eastAsiaTheme="minorHAnsi"/>
      <w:kern w:val="2"/>
      <w:sz w:val="22"/>
      <w:szCs w:val="22"/>
      <w:lang w:val="en-IE" w:eastAsia="en-US"/>
      <w14:ligatures w14:val="standardContextual"/>
    </w:rPr>
  </w:style>
  <w:style w:type="character" w:styleId="IntenseEmphasis">
    <w:name w:val="Intense Emphasis"/>
    <w:basedOn w:val="DefaultParagraphFont"/>
    <w:uiPriority w:val="21"/>
    <w:qFormat/>
    <w:rsid w:val="004A238E"/>
    <w:rPr>
      <w:i/>
      <w:iCs/>
      <w:color w:val="005383" w:themeColor="accent1" w:themeShade="BF"/>
    </w:rPr>
  </w:style>
  <w:style w:type="paragraph" w:styleId="IntenseQuote">
    <w:name w:val="Intense Quote"/>
    <w:basedOn w:val="Normal"/>
    <w:next w:val="Normal"/>
    <w:link w:val="IntenseQuoteChar"/>
    <w:uiPriority w:val="30"/>
    <w:qFormat/>
    <w:rsid w:val="004A238E"/>
    <w:pPr>
      <w:pBdr>
        <w:top w:val="single" w:sz="4" w:space="10" w:color="005383" w:themeColor="accent1" w:themeShade="BF"/>
        <w:bottom w:val="single" w:sz="4" w:space="10" w:color="005383" w:themeColor="accent1" w:themeShade="BF"/>
      </w:pBdr>
      <w:spacing w:before="360" w:after="360" w:line="259" w:lineRule="auto"/>
      <w:ind w:left="864" w:right="864"/>
      <w:jc w:val="center"/>
    </w:pPr>
    <w:rPr>
      <w:rFonts w:eastAsiaTheme="minorHAnsi"/>
      <w:i/>
      <w:iCs/>
      <w:color w:val="005383" w:themeColor="accent1" w:themeShade="BF"/>
      <w:kern w:val="2"/>
      <w:sz w:val="22"/>
      <w:szCs w:val="22"/>
      <w:lang w:val="en-IE" w:eastAsia="en-US"/>
      <w14:ligatures w14:val="standardContextual"/>
    </w:rPr>
  </w:style>
  <w:style w:type="character" w:customStyle="1" w:styleId="IntenseQuoteChar">
    <w:name w:val="Intense Quote Char"/>
    <w:basedOn w:val="DefaultParagraphFont"/>
    <w:link w:val="IntenseQuote"/>
    <w:uiPriority w:val="30"/>
    <w:rsid w:val="004A238E"/>
    <w:rPr>
      <w:i/>
      <w:iCs/>
      <w:color w:val="005383" w:themeColor="accent1" w:themeShade="BF"/>
    </w:rPr>
  </w:style>
  <w:style w:type="character" w:styleId="IntenseReference">
    <w:name w:val="Intense Reference"/>
    <w:basedOn w:val="DefaultParagraphFont"/>
    <w:uiPriority w:val="32"/>
    <w:qFormat/>
    <w:rsid w:val="004A238E"/>
    <w:rPr>
      <w:b/>
      <w:bCs/>
      <w:smallCaps/>
      <w:color w:val="005383" w:themeColor="accent1" w:themeShade="BF"/>
      <w:spacing w:val="5"/>
    </w:rPr>
  </w:style>
  <w:style w:type="paragraph" w:styleId="Header">
    <w:name w:val="header"/>
    <w:basedOn w:val="Normal"/>
    <w:link w:val="HeaderChar"/>
    <w:uiPriority w:val="99"/>
    <w:unhideWhenUsed/>
    <w:rsid w:val="004A238E"/>
    <w:pPr>
      <w:tabs>
        <w:tab w:val="center" w:pos="4513"/>
        <w:tab w:val="right" w:pos="9026"/>
      </w:tabs>
      <w:spacing w:after="0" w:line="240" w:lineRule="auto"/>
    </w:pPr>
    <w:rPr>
      <w:rFonts w:eastAsiaTheme="minorHAnsi"/>
      <w:kern w:val="2"/>
      <w:sz w:val="22"/>
      <w:szCs w:val="22"/>
      <w:lang w:val="en-IE" w:eastAsia="en-US"/>
      <w14:ligatures w14:val="standardContextual"/>
    </w:rPr>
  </w:style>
  <w:style w:type="character" w:customStyle="1" w:styleId="HeaderChar">
    <w:name w:val="Header Char"/>
    <w:basedOn w:val="DefaultParagraphFont"/>
    <w:link w:val="Header"/>
    <w:uiPriority w:val="99"/>
    <w:rsid w:val="004A238E"/>
  </w:style>
  <w:style w:type="paragraph" w:styleId="Footer">
    <w:name w:val="footer"/>
    <w:basedOn w:val="Normal"/>
    <w:link w:val="FooterChar"/>
    <w:uiPriority w:val="99"/>
    <w:unhideWhenUsed/>
    <w:rsid w:val="004A238E"/>
    <w:pPr>
      <w:tabs>
        <w:tab w:val="center" w:pos="4513"/>
        <w:tab w:val="right" w:pos="9026"/>
      </w:tabs>
      <w:spacing w:after="0" w:line="240" w:lineRule="auto"/>
    </w:pPr>
    <w:rPr>
      <w:rFonts w:eastAsiaTheme="minorHAnsi"/>
      <w:kern w:val="2"/>
      <w:sz w:val="22"/>
      <w:szCs w:val="22"/>
      <w:lang w:val="en-IE" w:eastAsia="en-US"/>
      <w14:ligatures w14:val="standardContextual"/>
    </w:rPr>
  </w:style>
  <w:style w:type="character" w:customStyle="1" w:styleId="FooterChar">
    <w:name w:val="Footer Char"/>
    <w:basedOn w:val="DefaultParagraphFont"/>
    <w:link w:val="Footer"/>
    <w:uiPriority w:val="99"/>
    <w:rsid w:val="004A238E"/>
  </w:style>
  <w:style w:type="paragraph" w:styleId="FootnoteText">
    <w:name w:val="footnote text"/>
    <w:basedOn w:val="Normal"/>
    <w:link w:val="FootnoteTextChar"/>
    <w:autoRedefine/>
    <w:uiPriority w:val="99"/>
    <w:unhideWhenUsed/>
    <w:qFormat/>
    <w:rsid w:val="0046154D"/>
    <w:pPr>
      <w:spacing w:after="0" w:line="360" w:lineRule="auto"/>
      <w:jc w:val="both"/>
    </w:pPr>
    <w:rPr>
      <w:rFonts w:ascii="Times New Roman" w:eastAsia="Times New Roman" w:hAnsi="Times New Roman" w:cs="Times New Roman"/>
      <w:sz w:val="20"/>
      <w:szCs w:val="20"/>
      <w:lang w:val="en-IE" w:eastAsia="en-IE"/>
    </w:rPr>
  </w:style>
  <w:style w:type="character" w:customStyle="1" w:styleId="FootnoteTextChar">
    <w:name w:val="Footnote Text Char"/>
    <w:basedOn w:val="DefaultParagraphFont"/>
    <w:link w:val="FootnoteText"/>
    <w:uiPriority w:val="99"/>
    <w:rsid w:val="0046154D"/>
    <w:rPr>
      <w:rFonts w:ascii="Times New Roman" w:eastAsia="Times New Roman" w:hAnsi="Times New Roman" w:cs="Times New Roman"/>
      <w:kern w:val="0"/>
      <w:sz w:val="20"/>
      <w:szCs w:val="20"/>
      <w:lang w:eastAsia="en-IE"/>
      <w14:ligatures w14:val="none"/>
    </w:rPr>
  </w:style>
  <w:style w:type="character" w:styleId="FootnoteReference">
    <w:name w:val="footnote reference"/>
    <w:basedOn w:val="DefaultParagraphFont"/>
    <w:uiPriority w:val="99"/>
    <w:semiHidden/>
    <w:unhideWhenUsed/>
    <w:rsid w:val="0046154D"/>
    <w:rPr>
      <w:vertAlign w:val="superscript"/>
    </w:rPr>
  </w:style>
  <w:style w:type="character" w:styleId="CommentReference">
    <w:name w:val="annotation reference"/>
    <w:basedOn w:val="DefaultParagraphFont"/>
    <w:uiPriority w:val="99"/>
    <w:semiHidden/>
    <w:unhideWhenUsed/>
    <w:rsid w:val="0056252C"/>
    <w:rPr>
      <w:sz w:val="16"/>
      <w:szCs w:val="16"/>
    </w:rPr>
  </w:style>
  <w:style w:type="paragraph" w:styleId="CommentText">
    <w:name w:val="annotation text"/>
    <w:basedOn w:val="Normal"/>
    <w:link w:val="CommentTextChar"/>
    <w:uiPriority w:val="99"/>
    <w:unhideWhenUsed/>
    <w:rsid w:val="0056252C"/>
    <w:pPr>
      <w:spacing w:line="240" w:lineRule="auto"/>
    </w:pPr>
    <w:rPr>
      <w:sz w:val="20"/>
      <w:szCs w:val="20"/>
    </w:rPr>
  </w:style>
  <w:style w:type="character" w:customStyle="1" w:styleId="CommentTextChar">
    <w:name w:val="Comment Text Char"/>
    <w:basedOn w:val="DefaultParagraphFont"/>
    <w:link w:val="CommentText"/>
    <w:uiPriority w:val="99"/>
    <w:rsid w:val="0056252C"/>
    <w:rPr>
      <w:rFonts w:eastAsiaTheme="minorEastAsia"/>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56252C"/>
    <w:rPr>
      <w:b/>
      <w:bCs/>
    </w:rPr>
  </w:style>
  <w:style w:type="character" w:customStyle="1" w:styleId="CommentSubjectChar">
    <w:name w:val="Comment Subject Char"/>
    <w:basedOn w:val="CommentTextChar"/>
    <w:link w:val="CommentSubject"/>
    <w:uiPriority w:val="99"/>
    <w:semiHidden/>
    <w:rsid w:val="0056252C"/>
    <w:rPr>
      <w:rFonts w:eastAsiaTheme="minorEastAsia"/>
      <w:b/>
      <w:bCs/>
      <w:kern w:val="0"/>
      <w:sz w:val="20"/>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Johnjoe Brockie</dc:creator>
  <cp:keywords/>
  <dc:description/>
  <cp:lastModifiedBy>Margaret Kearns</cp:lastModifiedBy>
  <cp:revision>4</cp:revision>
  <dcterms:created xsi:type="dcterms:W3CDTF">2026-03-25T07:49:00Z</dcterms:created>
  <dcterms:modified xsi:type="dcterms:W3CDTF">2026-03-25T14:11:00Z</dcterms:modified>
</cp:coreProperties>
</file>